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both"/>
        <w:rPr>
          <w:rFonts w:ascii="Times New Roman" w:cs="Times New Roman" w:hAnsi="Times New Roman" w:eastAsia="Times New Roman"/>
          <w:lang w:val="it-IT"/>
        </w:rPr>
      </w:pPr>
      <w:r>
        <w:rPr>
          <w:rFonts w:ascii="Times New Roman" w:hAnsi="Times New Roman"/>
          <w:rtl w:val="0"/>
          <w:lang w:val="it-IT"/>
        </w:rPr>
        <w:t xml:space="preserve">Spett.le _________________(nome della ditta del datore di lavoro </w:t>
      </w:r>
    </w:p>
    <w:p>
      <w:pPr>
        <w:pStyle w:val="Normal.0"/>
        <w:jc w:val="both"/>
        <w:rPr>
          <w:rFonts w:ascii="Times New Roman" w:cs="Times New Roman" w:hAnsi="Times New Roman" w:eastAsia="Times New Roman"/>
          <w:lang w:val="it-IT"/>
        </w:rPr>
      </w:pPr>
    </w:p>
    <w:p>
      <w:pPr>
        <w:pStyle w:val="Normal.0"/>
        <w:jc w:val="both"/>
        <w:rPr>
          <w:rFonts w:ascii="Times New Roman" w:cs="Times New Roman" w:hAnsi="Times New Roman" w:eastAsia="Times New Roman"/>
          <w:lang w:val="it-IT"/>
        </w:rPr>
      </w:pPr>
      <w:r>
        <w:rPr>
          <w:rFonts w:ascii="Times New Roman" w:hAnsi="Times New Roman"/>
          <w:rtl w:val="0"/>
          <w:lang w:val="it-IT"/>
        </w:rPr>
        <w:t>Ogg: Proposta di disapplicazione di norme illegittime che prevedono obbligatoriet</w:t>
      </w:r>
      <w:r>
        <w:rPr>
          <w:rFonts w:ascii="Times New Roman" w:hAnsi="Times New Roman" w:hint="default"/>
          <w:rtl w:val="0"/>
          <w:lang w:val="it-IT"/>
        </w:rPr>
        <w:t xml:space="preserve">à </w:t>
      </w:r>
      <w:r>
        <w:rPr>
          <w:rFonts w:ascii="Times New Roman" w:hAnsi="Times New Roman"/>
          <w:rtl w:val="0"/>
          <w:lang w:val="it-IT"/>
        </w:rPr>
        <w:t>della certificazione verde (cd Green Pass)</w:t>
      </w:r>
    </w:p>
    <w:p>
      <w:pPr>
        <w:pStyle w:val="Normal.0"/>
        <w:jc w:val="both"/>
        <w:rPr>
          <w:rFonts w:ascii="Times New Roman" w:cs="Times New Roman" w:hAnsi="Times New Roman" w:eastAsia="Times New Roman"/>
          <w:lang w:val="it-IT"/>
        </w:rPr>
      </w:pPr>
    </w:p>
    <w:p>
      <w:pPr>
        <w:pStyle w:val="Normal.0"/>
        <w:jc w:val="both"/>
        <w:rPr>
          <w:rFonts w:ascii="Times New Roman" w:cs="Times New Roman" w:hAnsi="Times New Roman" w:eastAsia="Times New Roman"/>
          <w:lang w:val="it-IT"/>
        </w:rPr>
      </w:pPr>
      <w:r>
        <w:rPr>
          <w:rFonts w:ascii="Times New Roman" w:hAnsi="Times New Roman"/>
          <w:rtl w:val="0"/>
          <w:lang w:val="it-IT"/>
        </w:rPr>
        <w:t xml:space="preserve">Il sottoscritto  _______________________________________________(nome e cognome) </w:t>
      </w:r>
    </w:p>
    <w:p>
      <w:pPr>
        <w:pStyle w:val="Normal.0"/>
        <w:jc w:val="both"/>
        <w:rPr>
          <w:lang w:val="it-IT"/>
        </w:rPr>
      </w:pPr>
      <w:r>
        <w:rPr>
          <w:rFonts w:ascii="Times New Roman" w:hAnsi="Times New Roman"/>
          <w:rtl w:val="0"/>
          <w:lang w:val="it-IT"/>
        </w:rPr>
        <w:t>nella propria veste di vostro dipendente con la presente, in relazione alla comunicazione dell</w:t>
      </w:r>
      <w:r>
        <w:rPr>
          <w:rFonts w:ascii="Times New Roman" w:hAnsi="Times New Roman" w:hint="default"/>
          <w:rtl w:val="0"/>
          <w:lang w:val="it-IT"/>
        </w:rPr>
        <w:t>’</w:t>
      </w:r>
      <w:r>
        <w:rPr>
          <w:rFonts w:ascii="Times New Roman" w:hAnsi="Times New Roman"/>
          <w:rtl w:val="0"/>
          <w:lang w:val="it-IT"/>
        </w:rPr>
        <w:t>azienda in indirizzo, con cui si porta a conoscenza i lavoratori che, dal 15 ottobre, gli stessi, per svolgere la propria mansione lavorativa, debbano munirsi di certificazione verde, in ossequio al DL 127/2021, rende noto e comunica quanto segue,</w:t>
      </w:r>
    </w:p>
    <w:p>
      <w:pPr>
        <w:pStyle w:val="Normal.0"/>
        <w:jc w:val="both"/>
      </w:pPr>
    </w:p>
    <w:p>
      <w:pPr>
        <w:pStyle w:val="Corpo del testo"/>
        <w:jc w:val="both"/>
        <w:rPr>
          <w:rFonts w:ascii="Times New Roman" w:cs="Times New Roman" w:hAnsi="Times New Roman" w:eastAsia="Times New Roman"/>
          <w:outline w:val="0"/>
          <w:color w:val="000005"/>
          <w:u w:color="000005"/>
          <w:lang w:val="it-IT"/>
          <w14:textFill>
            <w14:solidFill>
              <w14:srgbClr w14:val="000005"/>
            </w14:solidFill>
          </w14:textFill>
        </w:rPr>
      </w:pPr>
      <w:r>
        <w:rPr>
          <w:rFonts w:ascii="Times New Roman" w:hAnsi="Times New Roman"/>
          <w:outline w:val="0"/>
          <w:color w:val="000005"/>
          <w:u w:color="000005"/>
          <w:rtl w:val="0"/>
          <w:lang w:val="it-IT"/>
          <w14:textFill>
            <w14:solidFill>
              <w14:srgbClr w14:val="000005"/>
            </w14:solidFill>
          </w14:textFill>
        </w:rPr>
        <w:t xml:space="preserve">Secondo risalente Giurisprudenza, il riconoscimento dell'ordinamento comunitario e di quello nazionale come ordinamenti reciprocamente autonomi, ma tra loro coordinati e comunicanti, porta a considerare l'immissione diretta nell'ordinamento interno delle norme comunitarie immediatamente applicabili come la conseguenza del riconoscimento della loro derivazione da una fonte esterna a competenza riservata, la cui giustificazione costituzionale va imputata agli </w:t>
      </w:r>
      <w:r>
        <w:rPr>
          <w:rFonts w:ascii="TimesNewRomanPS" w:cs="TimesNewRomanPS" w:hAnsi="TimesNewRomanPS" w:eastAsia="TimesNewRomanPS"/>
          <w:b w:val="1"/>
          <w:bCs w:val="1"/>
          <w:outline w:val="0"/>
          <w:color w:val="000005"/>
          <w:u w:color="000005"/>
          <w:rtl w:val="0"/>
          <w:lang w:val="it-IT"/>
          <w14:textFill>
            <w14:solidFill>
              <w14:srgbClr w14:val="000005"/>
            </w14:solidFill>
          </w14:textFill>
        </w:rPr>
        <w:t xml:space="preserve">artt. 10 e 117 della Costituzione </w:t>
      </w:r>
      <w:r>
        <w:rPr>
          <w:rFonts w:ascii="Times New Roman" w:hAnsi="Times New Roman"/>
          <w:outline w:val="0"/>
          <w:color w:val="000005"/>
          <w:u w:color="000005"/>
          <w:rtl w:val="0"/>
          <w:lang w:val="it-IT"/>
          <w14:textFill>
            <w14:solidFill>
              <w14:srgbClr w14:val="000005"/>
            </w14:solidFill>
          </w14:textFill>
        </w:rPr>
        <w:t>e al conseguente particolare valore giuridico attribuito al Trattato istitutivo delle Comunita</w:t>
      </w:r>
      <w:r>
        <w:rPr>
          <w:rFonts w:ascii="Times New Roman" w:hAnsi="Times New Roman" w:hint="default"/>
          <w:outline w:val="0"/>
          <w:color w:val="000005"/>
          <w:u w:color="000005"/>
          <w:rtl w:val="0"/>
          <w:lang w:val="it-IT"/>
          <w14:textFill>
            <w14:solidFill>
              <w14:srgbClr w14:val="000005"/>
            </w14:solidFill>
          </w14:textFill>
        </w:rPr>
        <w:t xml:space="preserve">̀ </w:t>
      </w:r>
      <w:r>
        <w:rPr>
          <w:rFonts w:ascii="Times New Roman" w:hAnsi="Times New Roman"/>
          <w:outline w:val="0"/>
          <w:color w:val="000005"/>
          <w:u w:color="000005"/>
          <w:rtl w:val="0"/>
          <w:lang w:val="it-IT"/>
          <w14:textFill>
            <w14:solidFill>
              <w14:srgbClr w14:val="000005"/>
            </w14:solidFill>
          </w14:textFill>
        </w:rPr>
        <w:t xml:space="preserve">europee e agli atti a questo equiparati. </w:t>
      </w:r>
    </w:p>
    <w:p>
      <w:pPr>
        <w:pStyle w:val="Corpo del testo"/>
        <w:jc w:val="both"/>
        <w:rPr>
          <w:rFonts w:ascii="Times New Roman" w:cs="Times New Roman" w:hAnsi="Times New Roman" w:eastAsia="Times New Roman"/>
          <w:outline w:val="0"/>
          <w:color w:val="000005"/>
          <w:u w:color="000005"/>
          <w14:textFill>
            <w14:solidFill>
              <w14:srgbClr w14:val="000005"/>
            </w14:solidFill>
          </w14:textFill>
        </w:rPr>
      </w:pPr>
      <w:r>
        <w:rPr>
          <w:rFonts w:ascii="Times New Roman" w:hAnsi="Times New Roman"/>
          <w:outline w:val="0"/>
          <w:color w:val="000005"/>
          <w:u w:color="000005"/>
          <w:rtl w:val="0"/>
          <w:lang w:val="en-US"/>
          <w14:textFill>
            <w14:solidFill>
              <w14:srgbClr w14:val="000005"/>
            </w14:solidFill>
          </w14:textFill>
        </w:rPr>
        <w:t>Cio</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significa che, mentre gli atti idonei a porre quelle norme conservano il trattamento giuridico o il regime ad essi assicurato dall'ordinamento comunitario - nel senso che sono assoggettati alle regole di produzione normativa, di interpretazione, di abrogazione, di</w:t>
      </w:r>
      <w:r>
        <w:rPr>
          <w:rFonts w:ascii="Times New Roman" w:hAnsi="Times New Roman"/>
          <w:outline w:val="0"/>
          <w:color w:val="000005"/>
          <w:u w:color="000005"/>
          <w:rtl w:val="0"/>
          <w:lang w:val="it-IT"/>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caducazione e di invalidazione proprie di quell'ordinamento, al contrario le norme da essi prodotte operano direttamente nell'ordinamento interno come norme investite di forza o valore di legge, vale a dire come norme che, nei limiti delle competenze e nell'ambito degli scopi propri degli organi di produzione normativa della Comunita</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 xml:space="preserve">, hanno un rango primario. </w:t>
      </w:r>
    </w:p>
    <w:p>
      <w:pPr>
        <w:pStyle w:val="Corpo del testo"/>
        <w:jc w:val="both"/>
        <w:rPr>
          <w:rFonts w:ascii="Times New Roman" w:cs="Times New Roman" w:hAnsi="Times New Roman" w:eastAsia="Times New Roman"/>
          <w:outline w:val="0"/>
          <w:color w:val="000005"/>
          <w:u w:color="000005"/>
          <w14:textFill>
            <w14:solidFill>
              <w14:srgbClr w14:val="000005"/>
            </w14:solidFill>
          </w14:textFill>
        </w:rPr>
      </w:pPr>
      <w:r>
        <w:rPr>
          <w:rFonts w:ascii="Times New Roman" w:hAnsi="Times New Roman"/>
          <w:outline w:val="0"/>
          <w:color w:val="000005"/>
          <w:u w:color="000005"/>
          <w:rtl w:val="0"/>
          <w:lang w:val="en-US"/>
          <w14:textFill>
            <w14:solidFill>
              <w14:srgbClr w14:val="000005"/>
            </w14:solidFill>
          </w14:textFill>
        </w:rPr>
        <w:t xml:space="preserve">Da tanto deriva che le norme comunitarie direttamente applicabili </w:t>
      </w:r>
      <w:r>
        <w:rPr>
          <w:rFonts w:ascii="TimesNewRomanPS" w:cs="TimesNewRomanPS" w:hAnsi="TimesNewRomanPS" w:eastAsia="TimesNewRomanPS"/>
          <w:b w:val="1"/>
          <w:bCs w:val="1"/>
          <w:outline w:val="0"/>
          <w:color w:val="000005"/>
          <w:u w:color="000005"/>
          <w:rtl w:val="0"/>
          <w:lang w:val="en-US"/>
          <w14:textFill>
            <w14:solidFill>
              <w14:srgbClr w14:val="000005"/>
            </w14:solidFill>
          </w14:textFill>
        </w:rPr>
        <w:t>prevalgono rispetto alle norme nazionali</w:t>
      </w:r>
      <w:r>
        <w:rPr>
          <w:rFonts w:ascii="Times New Roman" w:hAnsi="Times New Roman"/>
          <w:outline w:val="0"/>
          <w:color w:val="000005"/>
          <w:u w:color="000005"/>
          <w:rtl w:val="0"/>
          <w:lang w:val="en-US"/>
          <w14:textFill>
            <w14:solidFill>
              <w14:srgbClr w14:val="000005"/>
            </w14:solidFill>
          </w14:textFill>
        </w:rPr>
        <w:t xml:space="preserve">, anche se di rango legislativo, senza tuttavia produrre, nel caso che queste ultime siano incompatibili con esse, effetti estintivi.                     </w:t>
      </w:r>
      <w:r>
        <w:rPr>
          <w:rFonts w:ascii="Arial Unicode MS" w:cs="Arial Unicode MS" w:hAnsi="Arial Unicode MS" w:eastAsia="Arial Unicode MS"/>
          <w:b w:val="0"/>
          <w:bCs w:val="0"/>
          <w:i w:val="0"/>
          <w:iCs w:val="0"/>
          <w:outline w:val="0"/>
          <w:color w:val="000005"/>
          <w:u w:color="000005"/>
          <w:lang w:val="en-US"/>
          <w14:textFill>
            <w14:solidFill>
              <w14:srgbClr w14:val="000005"/>
            </w14:solidFill>
          </w14:textFill>
        </w:rPr>
        <w:br w:type="textWrapping"/>
      </w:r>
      <w:r>
        <w:rPr>
          <w:rFonts w:ascii="Times New Roman" w:hAnsi="Times New Roman"/>
          <w:outline w:val="0"/>
          <w:color w:val="000005"/>
          <w:u w:color="000005"/>
          <w:rtl w:val="0"/>
          <w:lang w:val="en-US"/>
          <w14:textFill>
            <w14:solidFill>
              <w14:srgbClr w14:val="000005"/>
            </w14:solidFill>
          </w14:textFill>
        </w:rPr>
        <w:t>Piu</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precisamente, l'eventuale conflitto fra il diritto comunitario direttamente applicabile e quello interno (c.d. antinomia), proprio perche</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suppone un contrasto di quest'ultimo con una norma prodotta da una fonte esterna avente un suo proprio regime giuridico e abilitata a produrre diritto nell'ordinamento nazionale entro un proprio distinto ambito di competenza, non da</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luogo a ipotesi di abrogazione o di deroga, ne</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a forme di caducazione o di annullamento per invalidita</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della norma interna incompatibile, bensi</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 xml:space="preserve">produce un effetto di </w:t>
      </w:r>
      <w:r>
        <w:rPr>
          <w:rFonts w:ascii="TimesNewRomanPS" w:cs="TimesNewRomanPS" w:hAnsi="TimesNewRomanPS" w:eastAsia="TimesNewRomanPS"/>
          <w:b w:val="1"/>
          <w:bCs w:val="1"/>
          <w:outline w:val="0"/>
          <w:color w:val="000005"/>
          <w:u w:color="000005"/>
          <w:rtl w:val="0"/>
          <w:lang w:val="en-US"/>
          <w14:textFill>
            <w14:solidFill>
              <w14:srgbClr w14:val="000005"/>
            </w14:solidFill>
          </w14:textFill>
        </w:rPr>
        <w:t xml:space="preserve">disapplicazione </w:t>
      </w:r>
      <w:r>
        <w:rPr>
          <w:rFonts w:ascii="Times New Roman" w:hAnsi="Times New Roman"/>
          <w:outline w:val="0"/>
          <w:color w:val="000005"/>
          <w:u w:color="000005"/>
          <w:rtl w:val="0"/>
          <w:lang w:val="en-US"/>
          <w14:textFill>
            <w14:solidFill>
              <w14:srgbClr w14:val="000005"/>
            </w14:solidFill>
          </w14:textFill>
        </w:rPr>
        <w:t>di quest'ultima, seppure nei limiti di tempo e nell'ambito materiale entro cui le competenze comunitarie sono legittimate a svolgersi. L</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istituto della disapplicazione, previsto in ambito amministrativo gia</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 xml:space="preserve">dalla l. 20 marzo 1865, n. 2248 (All. E), ha trovato compiuta affermazione nel diritto comunitario per mezzo della storica sentenza </w:t>
      </w:r>
      <w:r>
        <w:rPr>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Simmenthal</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(9 marzo 1978, C-106/77), le cui indicazioni vennero successivamente recepite dalla nostra Corte Costituzionale con l</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 xml:space="preserve">altrettanto epocale pronuncia sul caso </w:t>
      </w:r>
      <w:r>
        <w:rPr>
          <w:rFonts w:ascii="TimesNewRomanPS" w:cs="TimesNewRomanPS" w:hAnsi="TimesNewRomanPS" w:eastAsia="TimesNewRomanPS"/>
          <w:b w:val="1"/>
          <w:bCs w:val="1"/>
          <w:outline w:val="0"/>
          <w:color w:val="000005"/>
          <w:u w:color="000005"/>
          <w:rtl w:val="0"/>
          <w:lang w:val="en-US"/>
          <w14:textFill>
            <w14:solidFill>
              <w14:srgbClr w14:val="000005"/>
            </w14:solidFill>
          </w14:textFill>
        </w:rPr>
        <w:t xml:space="preserve">Granital </w:t>
      </w:r>
      <w:r>
        <w:rPr>
          <w:rFonts w:ascii="Times New Roman" w:hAnsi="Times New Roman"/>
          <w:outline w:val="0"/>
          <w:color w:val="000005"/>
          <w:u w:color="000005"/>
          <w:rtl w:val="0"/>
          <w:lang w:val="en-US"/>
          <w14:textFill>
            <w14:solidFill>
              <w14:srgbClr w14:val="000005"/>
            </w14:solidFill>
          </w14:textFill>
        </w:rPr>
        <w:t>(Sent. 5 giugno 1984, n. 170).</w:t>
      </w:r>
      <w:r>
        <w:rPr>
          <w:rFonts w:ascii="Arial Unicode MS" w:cs="Arial Unicode MS" w:hAnsi="Arial Unicode MS" w:eastAsia="Arial Unicode MS"/>
          <w:b w:val="0"/>
          <w:bCs w:val="0"/>
          <w:i w:val="0"/>
          <w:iCs w:val="0"/>
          <w:outline w:val="0"/>
          <w:color w:val="000005"/>
          <w:u w:color="000005"/>
          <w:lang w:val="en-US"/>
          <w14:textFill>
            <w14:solidFill>
              <w14:srgbClr w14:val="000005"/>
            </w14:solidFill>
          </w14:textFill>
        </w:rPr>
        <w:br w:type="textWrapping"/>
      </w:r>
      <w:r>
        <w:rPr>
          <w:rFonts w:ascii="Times New Roman" w:hAnsi="Times New Roman"/>
          <w:outline w:val="0"/>
          <w:color w:val="000005"/>
          <w:u w:color="000005"/>
          <w:rtl w:val="0"/>
          <w:lang w:val="en-US"/>
          <w14:textFill>
            <w14:solidFill>
              <w14:srgbClr w14:val="000005"/>
            </w14:solidFill>
          </w14:textFill>
        </w:rPr>
        <w:t xml:space="preserve">Tali pronunce hanno avuto il merito di tracciare un solco giurisprudenziale che, eccezion fatta per rarissimi casi (si pensi alla teoria dei cd. </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contro</w:t>
      </w:r>
      <w:r>
        <w:rPr>
          <w:rFonts w:ascii="Times New Roman" w:hAnsi="Times New Roman"/>
          <w:outline w:val="0"/>
          <w:color w:val="000005"/>
          <w:u w:color="000005"/>
          <w:rtl w:val="0"/>
          <w:lang w:val="it-IT"/>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limiti</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 va a sancire un</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 xml:space="preserve">acclarata primazia del diritto comunitario rispetto a quello degli Stati membri. </w:t>
      </w:r>
    </w:p>
    <w:p>
      <w:pPr>
        <w:pStyle w:val="Corpo del testo"/>
        <w:jc w:val="both"/>
        <w:rPr>
          <w:rFonts w:ascii="Times New Roman" w:cs="Times New Roman" w:hAnsi="Times New Roman" w:eastAsia="Times New Roman"/>
          <w:outline w:val="0"/>
          <w:color w:val="000005"/>
          <w:u w:color="000005"/>
          <w14:textFill>
            <w14:solidFill>
              <w14:srgbClr w14:val="000005"/>
            </w14:solidFill>
          </w14:textFill>
        </w:rPr>
      </w:pPr>
      <w:r>
        <w:rPr>
          <w:rFonts w:ascii="Times New Roman" w:hAnsi="Times New Roman"/>
          <w:outline w:val="0"/>
          <w:color w:val="000005"/>
          <w:u w:color="000005"/>
          <w:rtl w:val="0"/>
          <w:lang w:val="en-US"/>
          <w14:textFill>
            <w14:solidFill>
              <w14:srgbClr w14:val="000005"/>
            </w14:solidFill>
          </w14:textFill>
        </w:rPr>
        <w:t>E</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 xml:space="preserve">fatto ormai pacifico, invero, che il Giudice </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interno</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 prima di sollevare incidente di costituzionalita</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per violazione del diritto dell'Unione - ricorrendo quindi allo strumento del rinvio pregiudiziale - debba valutare la possibilita</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 xml:space="preserve">di disapplicare (secondo i criteri ordinari) la norma interna, rientrando questo compito tra i suoi essenziali poteri. </w:t>
      </w:r>
    </w:p>
    <w:p>
      <w:pPr>
        <w:pStyle w:val="Corpo del testo"/>
        <w:jc w:val="both"/>
        <w:rPr>
          <w:rFonts w:ascii="Times New Roman" w:cs="Times New Roman" w:hAnsi="Times New Roman" w:eastAsia="Times New Roman"/>
          <w:outline w:val="0"/>
          <w:color w:val="000005"/>
          <w:u w:color="000005"/>
          <w14:textFill>
            <w14:solidFill>
              <w14:srgbClr w14:val="000005"/>
            </w14:solidFill>
          </w14:textFill>
        </w:rPr>
      </w:pPr>
      <w:r>
        <w:rPr>
          <w:rFonts w:ascii="Times New Roman" w:hAnsi="Times New Roman"/>
          <w:outline w:val="0"/>
          <w:color w:val="000005"/>
          <w:u w:color="000005"/>
          <w:rtl w:val="0"/>
          <w:lang w:val="en-US"/>
          <w14:textFill>
            <w14:solidFill>
              <w14:srgbClr w14:val="000005"/>
            </w14:solidFill>
          </w14:textFill>
        </w:rPr>
        <w:t>Marcando un</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 xml:space="preserve">evoluzione del suddetto indirizzo giurisprudenziale, la sentenza n. 389/89 della Corte Costituzionale ha poi smentito che un tale potere di disapplicazione competesse esclusivamente ad una figura giudiziale, chiarendo in modo inequivocabile che </w:t>
      </w:r>
      <w:r>
        <w:rPr>
          <w:outline w:val="0"/>
          <w:color w:val="000005"/>
          <w:u w:color="000005"/>
          <w:rtl w:val="0"/>
          <w:lang w:val="en-US"/>
          <w14:textFill>
            <w14:solidFill>
              <w14:srgbClr w14:val="000005"/>
            </w14:solidFill>
          </w14:textFill>
        </w:rPr>
        <w:t>“</w:t>
      </w:r>
      <w:r>
        <w:rPr>
          <w:rFonts w:ascii="TimesNewRomanPS" w:cs="TimesNewRomanPS" w:hAnsi="TimesNewRomanPS" w:eastAsia="TimesNewRomanPS"/>
          <w:i w:val="1"/>
          <w:iCs w:val="1"/>
          <w:outline w:val="0"/>
          <w:color w:val="000005"/>
          <w:u w:color="000005"/>
          <w:rtl w:val="0"/>
          <w:lang w:val="en-US"/>
          <w14:textFill>
            <w14:solidFill>
              <w14:srgbClr w14:val="000005"/>
            </w14:solidFill>
          </w14:textFill>
        </w:rPr>
        <w:t xml:space="preserve">tutti i soggetti competenti nel nostro ordinamento a dare esecuzione alle leggi (e atti aventi forza di legge) </w:t>
      </w:r>
      <w:r>
        <w:rPr>
          <w:outline w:val="0"/>
          <w:color w:val="000005"/>
          <w:u w:color="000005"/>
          <w:rtl w:val="0"/>
          <w:lang w:val="en-US"/>
          <w14:textFill>
            <w14:solidFill>
              <w14:srgbClr w14:val="000005"/>
            </w14:solidFill>
          </w14:textFill>
        </w:rPr>
        <w:t xml:space="preserve">– </w:t>
      </w:r>
      <w:r>
        <w:rPr>
          <w:rFonts w:ascii="TimesNewRomanPS" w:cs="TimesNewRomanPS" w:hAnsi="TimesNewRomanPS" w:eastAsia="TimesNewRomanPS"/>
          <w:i w:val="1"/>
          <w:iCs w:val="1"/>
          <w:outline w:val="0"/>
          <w:color w:val="000005"/>
          <w:u w:color="000005"/>
          <w:rtl w:val="0"/>
          <w:lang w:val="en-US"/>
          <w14:textFill>
            <w14:solidFill>
              <w14:srgbClr w14:val="000005"/>
            </w14:solidFill>
          </w14:textFill>
        </w:rPr>
        <w:t xml:space="preserve">tanto se dotati di poteri dichiarativi del diritto come gli organi giurisdizionali quanto se privi di tali poteri come gli organi amministrativi </w:t>
      </w:r>
      <w:r>
        <w:rPr>
          <w:outline w:val="0"/>
          <w:color w:val="000005"/>
          <w:u w:color="000005"/>
          <w:rtl w:val="0"/>
          <w:lang w:val="en-US"/>
          <w14:textFill>
            <w14:solidFill>
              <w14:srgbClr w14:val="000005"/>
            </w14:solidFill>
          </w14:textFill>
        </w:rPr>
        <w:t xml:space="preserve">– </w:t>
      </w:r>
      <w:r>
        <w:rPr>
          <w:rFonts w:ascii="TimesNewRomanPS" w:cs="TimesNewRomanPS" w:hAnsi="TimesNewRomanPS" w:eastAsia="TimesNewRomanPS"/>
          <w:i w:val="1"/>
          <w:iCs w:val="1"/>
          <w:outline w:val="0"/>
          <w:color w:val="000005"/>
          <w:u w:color="000005"/>
          <w:rtl w:val="0"/>
          <w:lang w:val="en-US"/>
          <w14:textFill>
            <w14:solidFill>
              <w14:srgbClr w14:val="000005"/>
            </w14:solidFill>
          </w14:textFill>
        </w:rPr>
        <w:t>sono giuridicamente tenuti a disapplicare le norme interne incompatibili con norme comunitarie direttamente applicabili</w:t>
      </w:r>
      <w:r>
        <w:rPr>
          <w:rFonts w:ascii="TimesNewRomanPS" w:cs="TimesNewRomanPS" w:hAnsi="TimesNewRomanPS" w:eastAsia="TimesNewRomanPS"/>
          <w:i w:val="1"/>
          <w:iCs w:val="1"/>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 xml:space="preserve">. </w:t>
      </w:r>
    </w:p>
    <w:p>
      <w:pPr>
        <w:pStyle w:val="Corpo del testo"/>
        <w:jc w:val="both"/>
        <w:rPr>
          <w:rFonts w:ascii="Times New Roman" w:cs="Times New Roman" w:hAnsi="Times New Roman" w:eastAsia="Times New Roman"/>
          <w:outline w:val="0"/>
          <w:color w:val="000005"/>
          <w:u w:color="000005"/>
          <w14:textFill>
            <w14:solidFill>
              <w14:srgbClr w14:val="000005"/>
            </w14:solidFill>
          </w14:textFill>
        </w:rPr>
      </w:pPr>
      <w:r>
        <w:rPr>
          <w:rFonts w:ascii="Times New Roman" w:hAnsi="Times New Roman"/>
          <w:outline w:val="0"/>
          <w:color w:val="000005"/>
          <w:u w:color="000005"/>
          <w:rtl w:val="0"/>
          <w:lang w:val="en-US"/>
          <w14:textFill>
            <w14:solidFill>
              <w14:srgbClr w14:val="000005"/>
            </w14:solidFill>
          </w14:textFill>
        </w:rPr>
        <w:t>In considerazione di cio</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 in una interpretazione evidentemente tesa a richiamare il regime di responsabilita</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di cui all</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art. 28 Cost., appare d</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immediata comprensione la necessita</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 xml:space="preserve">secondo cui un regolamento europeo, quale fonte comunitaria </w:t>
      </w:r>
      <w:r>
        <w:rPr>
          <w:rFonts w:ascii="TimesNewRomanPS" w:cs="TimesNewRomanPS" w:hAnsi="TimesNewRomanPS" w:eastAsia="TimesNewRomanPS"/>
          <w:b w:val="1"/>
          <w:bCs w:val="1"/>
          <w:outline w:val="0"/>
          <w:color w:val="000005"/>
          <w:u w:color="000005"/>
          <w:rtl w:val="0"/>
          <w:lang w:val="en-US"/>
          <w14:textFill>
            <w14:solidFill>
              <w14:srgbClr w14:val="000005"/>
            </w14:solidFill>
          </w14:textFill>
        </w:rPr>
        <w:t xml:space="preserve">direttamente applicabile </w:t>
      </w:r>
      <w:r>
        <w:rPr>
          <w:rFonts w:ascii="Times New Roman" w:hAnsi="Times New Roman"/>
          <w:outline w:val="0"/>
          <w:color w:val="000005"/>
          <w:u w:color="000005"/>
          <w:rtl w:val="0"/>
          <w:lang w:val="en-US"/>
          <w14:textFill>
            <w14:solidFill>
              <w14:srgbClr w14:val="000005"/>
            </w14:solidFill>
          </w14:textFill>
        </w:rPr>
        <w:t>all</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interno degli Stati membri, non sia in alcun modo disatteso da normative nazionali e che, laddove cio</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 xml:space="preserve">avvenga, </w:t>
      </w:r>
      <w:r>
        <w:rPr>
          <w:rFonts w:ascii="Times New Roman" w:hAnsi="Times New Roman"/>
          <w:b w:val="1"/>
          <w:bCs w:val="1"/>
          <w:outline w:val="0"/>
          <w:color w:val="000005"/>
          <w:u w:color="000005"/>
          <w:rtl w:val="0"/>
          <w:lang w:val="en-US"/>
          <w14:textFill>
            <w14:solidFill>
              <w14:srgbClr w14:val="000005"/>
            </w14:solidFill>
          </w14:textFill>
        </w:rPr>
        <w:t>i soggetti chiamati ad assicurare l</w:t>
      </w:r>
      <w:r>
        <w:rPr>
          <w:rFonts w:ascii="Times New Roman" w:hAnsi="Times New Roman" w:hint="default"/>
          <w:b w:val="1"/>
          <w:bCs w:val="1"/>
          <w:outline w:val="0"/>
          <w:color w:val="000005"/>
          <w:u w:color="000005"/>
          <w:rtl w:val="0"/>
          <w:lang w:val="en-US"/>
          <w14:textFill>
            <w14:solidFill>
              <w14:srgbClr w14:val="000005"/>
            </w14:solidFill>
          </w14:textFill>
        </w:rPr>
        <w:t>’</w:t>
      </w:r>
      <w:r>
        <w:rPr>
          <w:rFonts w:ascii="Times New Roman" w:hAnsi="Times New Roman"/>
          <w:b w:val="1"/>
          <w:bCs w:val="1"/>
          <w:outline w:val="0"/>
          <w:color w:val="000005"/>
          <w:u w:color="000005"/>
          <w:rtl w:val="0"/>
          <w:lang w:val="en-US"/>
          <w14:textFill>
            <w14:solidFill>
              <w14:srgbClr w14:val="000005"/>
            </w14:solidFill>
          </w14:textFill>
        </w:rPr>
        <w:t xml:space="preserve">applicazione della disposizione interna con esso contrastante debbano essi stessi procedere </w:t>
      </w:r>
      <w:r>
        <w:rPr>
          <w:rFonts w:ascii="Calibri" w:cs="Calibri" w:hAnsi="Calibri" w:eastAsia="Calibri"/>
          <w:b w:val="1"/>
          <w:bCs w:val="1"/>
          <w:outline w:val="0"/>
          <w:color w:val="000005"/>
          <w:u w:color="000005"/>
          <w:rtl w:val="0"/>
          <w:lang w:val="en-US"/>
          <w14:textFill>
            <w14:solidFill>
              <w14:srgbClr w14:val="000005"/>
            </w14:solidFill>
          </w14:textFill>
        </w:rPr>
        <w:t xml:space="preserve">– </w:t>
      </w:r>
      <w:r>
        <w:rPr>
          <w:rFonts w:ascii="Times New Roman" w:hAnsi="Times New Roman"/>
          <w:b w:val="1"/>
          <w:bCs w:val="1"/>
          <w:outline w:val="0"/>
          <w:color w:val="000005"/>
          <w:u w:color="000005"/>
          <w:rtl w:val="0"/>
          <w:lang w:val="en-US"/>
          <w14:textFill>
            <w14:solidFill>
              <w14:srgbClr w14:val="000005"/>
            </w14:solidFill>
          </w14:textFill>
        </w:rPr>
        <w:t>poiche</w:t>
      </w:r>
      <w:r>
        <w:rPr>
          <w:rFonts w:ascii="Times New Roman" w:hAnsi="Times New Roman" w:hint="default"/>
          <w:b w:val="1"/>
          <w:bCs w:val="1"/>
          <w:outline w:val="0"/>
          <w:color w:val="000005"/>
          <w:u w:color="000005"/>
          <w:rtl w:val="0"/>
          <w:lang w:val="en-US"/>
          <w14:textFill>
            <w14:solidFill>
              <w14:srgbClr w14:val="000005"/>
            </w14:solidFill>
          </w14:textFill>
        </w:rPr>
        <w:t xml:space="preserve">́ </w:t>
      </w:r>
      <w:r>
        <w:rPr>
          <w:rFonts w:ascii="TimesNewRomanPS" w:cs="TimesNewRomanPS" w:hAnsi="TimesNewRomanPS" w:eastAsia="TimesNewRomanPS"/>
          <w:b w:val="1"/>
          <w:bCs w:val="1"/>
          <w:i w:val="1"/>
          <w:iCs w:val="1"/>
          <w:outline w:val="0"/>
          <w:color w:val="000005"/>
          <w:u w:color="000005"/>
          <w:rtl w:val="0"/>
          <w:lang w:val="en-US"/>
          <w14:textFill>
            <w14:solidFill>
              <w14:srgbClr w14:val="000005"/>
            </w14:solidFill>
          </w14:textFill>
        </w:rPr>
        <w:t xml:space="preserve">giuridicamente </w:t>
      </w:r>
      <w:r>
        <w:rPr>
          <w:rFonts w:ascii="Times New Roman" w:hAnsi="Times New Roman"/>
          <w:b w:val="1"/>
          <w:bCs w:val="1"/>
          <w:outline w:val="0"/>
          <w:color w:val="000005"/>
          <w:u w:color="000005"/>
          <w:rtl w:val="0"/>
          <w:lang w:val="en-US"/>
          <w14:textFill>
            <w14:solidFill>
              <w14:srgbClr w14:val="000005"/>
            </w14:solidFill>
          </w14:textFill>
        </w:rPr>
        <w:t xml:space="preserve">tenuti a farlo </w:t>
      </w:r>
      <w:r>
        <w:rPr>
          <w:rFonts w:ascii="Calibri" w:cs="Calibri" w:hAnsi="Calibri" w:eastAsia="Calibri"/>
          <w:b w:val="1"/>
          <w:bCs w:val="1"/>
          <w:outline w:val="0"/>
          <w:color w:val="000005"/>
          <w:u w:color="000005"/>
          <w:rtl w:val="0"/>
          <w:lang w:val="en-US"/>
          <w14:textFill>
            <w14:solidFill>
              <w14:srgbClr w14:val="000005"/>
            </w14:solidFill>
          </w14:textFill>
        </w:rPr>
        <w:t xml:space="preserve">– </w:t>
      </w:r>
      <w:r>
        <w:rPr>
          <w:rFonts w:ascii="Times New Roman" w:hAnsi="Times New Roman"/>
          <w:b w:val="1"/>
          <w:bCs w:val="1"/>
          <w:outline w:val="0"/>
          <w:color w:val="000005"/>
          <w:u w:color="000005"/>
          <w:rtl w:val="0"/>
          <w:lang w:val="en-US"/>
          <w14:textFill>
            <w14:solidFill>
              <w14:srgbClr w14:val="000005"/>
            </w14:solidFill>
          </w14:textFill>
        </w:rPr>
        <w:t xml:space="preserve">alla disapplicazione di tale norma. </w:t>
      </w:r>
    </w:p>
    <w:p>
      <w:pPr>
        <w:pStyle w:val="Corpo del testo"/>
        <w:jc w:val="both"/>
        <w:rPr>
          <w:rFonts w:ascii="Times New Roman" w:cs="Times New Roman" w:hAnsi="Times New Roman" w:eastAsia="Times New Roman"/>
        </w:rPr>
      </w:pPr>
      <w:r>
        <w:rPr>
          <w:rFonts w:ascii="Times New Roman" w:hAnsi="Times New Roman"/>
          <w:outline w:val="0"/>
          <w:color w:val="000005"/>
          <w:u w:color="000005"/>
          <w:rtl w:val="0"/>
          <w:lang w:val="en-US"/>
          <w14:textFill>
            <w14:solidFill>
              <w14:srgbClr w14:val="000005"/>
            </w14:solidFill>
          </w14:textFill>
        </w:rPr>
        <w:t>Il riferimento e</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naturalmente al d.l. n. 52/2021 istitutivo della certificazione verde che, alla pari dei d.l. nn. 105/2021, 111/2021 e 127/2021 con le relative leggi di conversione nonche</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 xml:space="preserve">del DPCM del 17.06.2021, ha </w:t>
      </w:r>
      <w:r>
        <w:rPr>
          <w:rFonts w:ascii="TimesNewRomanPS" w:cs="TimesNewRomanPS" w:hAnsi="TimesNewRomanPS" w:eastAsia="TimesNewRomanPS"/>
          <w:i w:val="1"/>
          <w:iCs w:val="1"/>
          <w:outline w:val="0"/>
          <w:color w:val="000005"/>
          <w:u w:color="000005"/>
          <w:rtl w:val="0"/>
          <w:lang w:val="en-US"/>
          <w14:textFill>
            <w14:solidFill>
              <w14:srgbClr w14:val="000005"/>
            </w14:solidFill>
          </w14:textFill>
        </w:rPr>
        <w:t xml:space="preserve">de facto </w:t>
      </w:r>
      <w:r>
        <w:rPr>
          <w:rFonts w:ascii="Times New Roman" w:hAnsi="Times New Roman"/>
          <w:outline w:val="0"/>
          <w:color w:val="000005"/>
          <w:u w:color="000005"/>
          <w:rtl w:val="0"/>
          <w:lang w:val="en-US"/>
          <w14:textFill>
            <w14:solidFill>
              <w14:srgbClr w14:val="000005"/>
            </w14:solidFill>
          </w14:textFill>
        </w:rPr>
        <w:t xml:space="preserve">stabilito un obbligo indiretto di vaccinazione a carico della maggioranza dei cittadini italiani. </w:t>
      </w:r>
    </w:p>
    <w:p>
      <w:pPr>
        <w:pStyle w:val="Corpo del testo"/>
        <w:jc w:val="both"/>
        <w:rPr>
          <w:rFonts w:ascii="Times New Roman" w:cs="Times New Roman" w:hAnsi="Times New Roman" w:eastAsia="Times New Roman"/>
        </w:rPr>
      </w:pPr>
      <w:r>
        <w:rPr>
          <w:rFonts w:ascii="Times New Roman" w:hAnsi="Times New Roman"/>
          <w:rtl w:val="0"/>
          <w:lang w:val="en-US"/>
        </w:rPr>
        <w:t>Un siffatto assetto normativo assume connotati di antigiuridicita</w:t>
      </w:r>
      <w:r>
        <w:rPr>
          <w:rFonts w:ascii="Times New Roman" w:hAnsi="Times New Roman" w:hint="default"/>
          <w:rtl w:val="0"/>
          <w:lang w:val="en-US"/>
        </w:rPr>
        <w:t xml:space="preserve">̀ </w:t>
      </w:r>
      <w:r>
        <w:rPr>
          <w:rFonts w:ascii="Times New Roman" w:hAnsi="Times New Roman"/>
          <w:rtl w:val="0"/>
          <w:lang w:val="en-US"/>
        </w:rPr>
        <w:t>e contrarieta</w:t>
      </w:r>
      <w:r>
        <w:rPr>
          <w:rFonts w:ascii="Times New Roman" w:hAnsi="Times New Roman" w:hint="default"/>
          <w:rtl w:val="0"/>
          <w:lang w:val="en-US"/>
        </w:rPr>
        <w:t xml:space="preserve">̀ </w:t>
      </w:r>
      <w:r>
        <w:rPr>
          <w:rFonts w:ascii="Times New Roman" w:hAnsi="Times New Roman"/>
          <w:rtl w:val="0"/>
          <w:lang w:val="en-US"/>
        </w:rPr>
        <w:t>alle norme imperative nazionali e sovranazionali, tenuto conto del fatto che il Consiglio d</w:t>
      </w:r>
      <w:r>
        <w:rPr>
          <w:rFonts w:ascii="Times New Roman" w:hAnsi="Times New Roman" w:hint="default"/>
          <w:rtl w:val="0"/>
          <w:lang w:val="en-US"/>
        </w:rPr>
        <w:t>’</w:t>
      </w:r>
      <w:r>
        <w:rPr>
          <w:rFonts w:ascii="Times New Roman" w:hAnsi="Times New Roman"/>
          <w:rtl w:val="0"/>
          <w:lang w:val="en-US"/>
        </w:rPr>
        <w:t>Europa, in data 28 gennaio 2021, si sia espresso in senso contrario all</w:t>
      </w:r>
      <w:r>
        <w:rPr>
          <w:rFonts w:ascii="Times New Roman" w:hAnsi="Times New Roman" w:hint="default"/>
          <w:rtl w:val="0"/>
          <w:lang w:val="en-US"/>
        </w:rPr>
        <w:t>’</w:t>
      </w:r>
      <w:r>
        <w:rPr>
          <w:rFonts w:ascii="Times New Roman" w:hAnsi="Times New Roman"/>
          <w:rtl w:val="0"/>
          <w:lang w:val="en-US"/>
        </w:rPr>
        <w:t xml:space="preserve">obbligo vaccinale, specificando che </w:t>
      </w:r>
      <w:r>
        <w:rPr>
          <w:rtl w:val="0"/>
          <w:lang w:val="en-US"/>
        </w:rPr>
        <w:t>“</w:t>
      </w:r>
      <w:r>
        <w:rPr>
          <w:rFonts w:ascii="TimesNewRomanPS" w:cs="TimesNewRomanPS" w:hAnsi="TimesNewRomanPS" w:eastAsia="TimesNewRomanPS"/>
          <w:i w:val="1"/>
          <w:iCs w:val="1"/>
          <w:rtl w:val="0"/>
          <w:lang w:val="en-US"/>
        </w:rPr>
        <w:t>gli Stati devono informare i cittadini che la vaccinazione contro il covid non e</w:t>
      </w:r>
      <w:r>
        <w:rPr>
          <w:rFonts w:ascii="TimesNewRomanPS" w:cs="TimesNewRomanPS" w:hAnsi="TimesNewRomanPS" w:eastAsia="TimesNewRomanPS"/>
          <w:i w:val="1"/>
          <w:iCs w:val="1"/>
          <w:rtl w:val="0"/>
          <w:lang w:val="en-US"/>
        </w:rPr>
        <w:t xml:space="preserve">̀ </w:t>
      </w:r>
      <w:r>
        <w:rPr>
          <w:rFonts w:ascii="TimesNewRomanPS" w:cs="TimesNewRomanPS" w:hAnsi="TimesNewRomanPS" w:eastAsia="TimesNewRomanPS"/>
          <w:i w:val="1"/>
          <w:iCs w:val="1"/>
          <w:rtl w:val="0"/>
          <w:lang w:val="en-US"/>
        </w:rPr>
        <w:t>obbligatoria</w:t>
      </w:r>
      <w:r>
        <w:rPr>
          <w:rFonts w:ascii="TimesNewRomanPS" w:cs="TimesNewRomanPS" w:hAnsi="TimesNewRomanPS" w:eastAsia="TimesNewRomanPS"/>
          <w:i w:val="1"/>
          <w:iCs w:val="1"/>
          <w:rtl w:val="0"/>
          <w:lang w:val="en-US"/>
        </w:rPr>
        <w:t>”</w:t>
      </w:r>
      <w:r>
        <w:rPr>
          <w:rFonts w:ascii="Times New Roman" w:hAnsi="Times New Roman"/>
          <w:rtl w:val="0"/>
          <w:lang w:val="en-US"/>
        </w:rPr>
        <w:t>, e che il Regolamento UE n. 953/2021, al considerando 36, riprendendo quanto precisato dal Consiglio d</w:t>
      </w:r>
      <w:r>
        <w:rPr>
          <w:rFonts w:ascii="Times New Roman" w:hAnsi="Times New Roman" w:hint="default"/>
          <w:rtl w:val="0"/>
          <w:lang w:val="en-US"/>
        </w:rPr>
        <w:t>’</w:t>
      </w:r>
      <w:r>
        <w:rPr>
          <w:rFonts w:ascii="Times New Roman" w:hAnsi="Times New Roman"/>
          <w:rtl w:val="0"/>
          <w:lang w:val="en-US"/>
        </w:rPr>
        <w:t xml:space="preserve">Europa, ribadisca che </w:t>
      </w:r>
      <w:r>
        <w:rPr>
          <w:rtl w:val="0"/>
          <w:lang w:val="en-US"/>
        </w:rPr>
        <w:t>“</w:t>
      </w:r>
      <w:r>
        <w:rPr>
          <w:rFonts w:ascii="TimesNewRomanPS" w:cs="TimesNewRomanPS" w:hAnsi="TimesNewRomanPS" w:eastAsia="TimesNewRomanPS"/>
          <w:i w:val="1"/>
          <w:iCs w:val="1"/>
          <w:rtl w:val="0"/>
          <w:lang w:val="en-US"/>
        </w:rPr>
        <w:t>i cittadini possono scegliere liberamente se vaccinarsi o no e che non possono essere discriminati ne</w:t>
      </w:r>
      <w:r>
        <w:rPr>
          <w:rFonts w:ascii="TimesNewRomanPS" w:cs="TimesNewRomanPS" w:hAnsi="TimesNewRomanPS" w:eastAsia="TimesNewRomanPS"/>
          <w:i w:val="1"/>
          <w:iCs w:val="1"/>
          <w:rtl w:val="0"/>
          <w:lang w:val="en-US"/>
        </w:rPr>
        <w:t xml:space="preserve">́ </w:t>
      </w:r>
      <w:r>
        <w:rPr>
          <w:rFonts w:ascii="TimesNewRomanPS" w:cs="TimesNewRomanPS" w:hAnsi="TimesNewRomanPS" w:eastAsia="TimesNewRomanPS"/>
          <w:i w:val="1"/>
          <w:iCs w:val="1"/>
          <w:rtl w:val="0"/>
          <w:lang w:val="en-US"/>
        </w:rPr>
        <w:t>direttamente ne</w:t>
      </w:r>
      <w:r>
        <w:rPr>
          <w:rFonts w:ascii="TimesNewRomanPS" w:cs="TimesNewRomanPS" w:hAnsi="TimesNewRomanPS" w:eastAsia="TimesNewRomanPS"/>
          <w:i w:val="1"/>
          <w:iCs w:val="1"/>
          <w:rtl w:val="0"/>
          <w:lang w:val="en-US"/>
        </w:rPr>
        <w:t xml:space="preserve">́ </w:t>
      </w:r>
      <w:r>
        <w:rPr>
          <w:rFonts w:ascii="TimesNewRomanPS" w:cs="TimesNewRomanPS" w:hAnsi="TimesNewRomanPS" w:eastAsia="TimesNewRomanPS"/>
          <w:i w:val="1"/>
          <w:iCs w:val="1"/>
          <w:rtl w:val="0"/>
          <w:lang w:val="en-US"/>
        </w:rPr>
        <w:t>indirettamente per tale scelta</w:t>
      </w:r>
      <w:r>
        <w:rPr>
          <w:rFonts w:ascii="TimesNewRomanPS" w:cs="TimesNewRomanPS" w:hAnsi="TimesNewRomanPS" w:eastAsia="TimesNewRomanPS"/>
          <w:i w:val="1"/>
          <w:iCs w:val="1"/>
          <w:rtl w:val="0"/>
          <w:lang w:val="en-US"/>
        </w:rPr>
        <w:t>”</w:t>
      </w:r>
      <w:r>
        <w:rPr>
          <w:rFonts w:ascii="Times New Roman" w:hAnsi="Times New Roman"/>
          <w:rtl w:val="0"/>
          <w:lang w:val="en-US"/>
        </w:rPr>
        <w:t xml:space="preserve">. </w:t>
      </w:r>
    </w:p>
    <w:p>
      <w:pPr>
        <w:pStyle w:val="Corpo del testo"/>
        <w:rPr>
          <w:rFonts w:ascii="Times New Roman" w:cs="Times New Roman" w:hAnsi="Times New Roman" w:eastAsia="Times New Roman"/>
        </w:rPr>
      </w:pPr>
      <w:r>
        <w:rPr>
          <w:rFonts w:ascii="Times New Roman" w:hAnsi="Times New Roman"/>
          <w:rtl w:val="0"/>
          <w:lang w:val="en-US"/>
        </w:rPr>
        <w:t>Se si considera che il d.l. n. 105/2021, nell</w:t>
      </w:r>
      <w:r>
        <w:rPr>
          <w:rFonts w:ascii="Times New Roman" w:hAnsi="Times New Roman" w:hint="default"/>
          <w:rtl w:val="0"/>
          <w:lang w:val="en-US"/>
        </w:rPr>
        <w:t>’</w:t>
      </w:r>
      <w:r>
        <w:rPr>
          <w:rFonts w:ascii="Times New Roman" w:hAnsi="Times New Roman"/>
          <w:rtl w:val="0"/>
          <w:lang w:val="en-US"/>
        </w:rPr>
        <w:t xml:space="preserve">integrare il precedente d.l. n. 52, precisa che </w:t>
      </w:r>
      <w:r>
        <w:rPr>
          <w:rtl w:val="0"/>
          <w:lang w:val="en-US"/>
        </w:rPr>
        <w:t>“</w:t>
      </w:r>
      <w:r>
        <w:rPr>
          <w:rFonts w:ascii="TimesNewRomanPS" w:cs="TimesNewRomanPS" w:hAnsi="TimesNewRomanPS" w:eastAsia="TimesNewRomanPS"/>
          <w:i w:val="1"/>
          <w:iCs w:val="1"/>
          <w:rtl w:val="0"/>
          <w:lang w:val="en-US"/>
        </w:rPr>
        <w:t xml:space="preserve">le disposizioni dei commi da 1 a 8 </w:t>
      </w:r>
      <w:r>
        <w:rPr>
          <w:rFonts w:ascii="Times New Roman" w:hAnsi="Times New Roman"/>
          <w:rtl w:val="0"/>
          <w:lang w:val="en-US"/>
        </w:rPr>
        <w:t>(dell</w:t>
      </w:r>
      <w:r>
        <w:rPr>
          <w:rFonts w:ascii="Times New Roman" w:hAnsi="Times New Roman" w:hint="default"/>
          <w:rtl w:val="0"/>
          <w:lang w:val="en-US"/>
        </w:rPr>
        <w:t>’</w:t>
      </w:r>
      <w:r>
        <w:rPr>
          <w:rFonts w:ascii="Times New Roman" w:hAnsi="Times New Roman"/>
          <w:rtl w:val="0"/>
          <w:lang w:val="en-US"/>
        </w:rPr>
        <w:t xml:space="preserve">art. 9 del d.l. n. 52/2021 istitutivo del </w:t>
      </w:r>
      <w:r>
        <w:rPr>
          <w:rFonts w:ascii="Times New Roman" w:hAnsi="Times New Roman" w:hint="default"/>
          <w:rtl w:val="0"/>
          <w:lang w:val="en-US"/>
        </w:rPr>
        <w:t>“</w:t>
      </w:r>
      <w:r>
        <w:rPr>
          <w:rFonts w:ascii="Times New Roman" w:hAnsi="Times New Roman"/>
          <w:rtl w:val="0"/>
          <w:lang w:val="en-US"/>
        </w:rPr>
        <w:t>green pass</w:t>
      </w:r>
      <w:r>
        <w:rPr>
          <w:rFonts w:ascii="Times New Roman" w:hAnsi="Times New Roman" w:hint="default"/>
          <w:rtl w:val="0"/>
          <w:lang w:val="en-US"/>
        </w:rPr>
        <w:t>”</w:t>
      </w:r>
      <w:r>
        <w:rPr>
          <w:rFonts w:ascii="Times New Roman" w:hAnsi="Times New Roman"/>
          <w:rtl w:val="0"/>
          <w:lang w:val="en-US"/>
        </w:rPr>
        <w:t xml:space="preserve">, n.d.r.) </w:t>
      </w:r>
      <w:r>
        <w:rPr>
          <w:rFonts w:ascii="TimesNewRomanPS" w:cs="TimesNewRomanPS" w:hAnsi="TimesNewRomanPS" w:eastAsia="TimesNewRomanPS"/>
          <w:i w:val="1"/>
          <w:iCs w:val="1"/>
          <w:rtl w:val="0"/>
          <w:lang w:val="en-US"/>
        </w:rPr>
        <w:t>continuano ad applicarsi ove compatibili con i Regolamenti UE nn. 953 e 954 del Parlamento Europeo e del Consiglio del 14/06/2021</w:t>
      </w:r>
      <w:r>
        <w:rPr>
          <w:rtl w:val="0"/>
          <w:lang w:val="en-US"/>
        </w:rPr>
        <w:t xml:space="preserve">” – </w:t>
      </w:r>
      <w:r>
        <w:rPr>
          <w:rFonts w:ascii="Times New Roman" w:hAnsi="Times New Roman"/>
          <w:rtl w:val="0"/>
          <w:lang w:val="en-US"/>
        </w:rPr>
        <w:t>le quali, lo si ricorda, sono direttamente applicabili all</w:t>
      </w:r>
      <w:r>
        <w:rPr>
          <w:rFonts w:ascii="Times New Roman" w:hAnsi="Times New Roman" w:hint="default"/>
          <w:rtl w:val="0"/>
          <w:lang w:val="en-US"/>
        </w:rPr>
        <w:t>’</w:t>
      </w:r>
      <w:r>
        <w:rPr>
          <w:rFonts w:ascii="Times New Roman" w:hAnsi="Times New Roman"/>
          <w:rtl w:val="0"/>
          <w:lang w:val="en-US"/>
        </w:rPr>
        <w:t xml:space="preserve">interno degli Stati membri </w:t>
      </w:r>
      <w:r>
        <w:rPr>
          <w:rFonts w:ascii="Times New Roman" w:hAnsi="Times New Roman" w:hint="default"/>
          <w:rtl w:val="0"/>
          <w:lang w:val="en-US"/>
        </w:rPr>
        <w:t xml:space="preserve">– </w:t>
      </w:r>
      <w:r>
        <w:rPr>
          <w:rFonts w:ascii="Times New Roman" w:hAnsi="Times New Roman"/>
          <w:rtl w:val="0"/>
          <w:lang w:val="en-US"/>
        </w:rPr>
        <w:t>appare manifesto che l</w:t>
      </w:r>
      <w:r>
        <w:rPr>
          <w:rFonts w:ascii="Times New Roman" w:hAnsi="Times New Roman" w:hint="default"/>
          <w:rtl w:val="0"/>
          <w:lang w:val="en-US"/>
        </w:rPr>
        <w:t>’</w:t>
      </w:r>
      <w:r>
        <w:rPr>
          <w:rFonts w:ascii="Times New Roman" w:hAnsi="Times New Roman"/>
          <w:rtl w:val="0"/>
          <w:lang w:val="en-US"/>
        </w:rPr>
        <w:t xml:space="preserve">intera normativa italiana disciplinante il c.d. green pass sia del tutto illegittima e, in quanto tale, dovrebbe essere disapplicata. </w:t>
      </w:r>
    </w:p>
    <w:p>
      <w:pPr>
        <w:pStyle w:val="Corpo del testo"/>
        <w:jc w:val="both"/>
        <w:rPr>
          <w:rFonts w:ascii="Times New Roman" w:cs="Times New Roman" w:hAnsi="Times New Roman" w:eastAsia="Times New Roman"/>
        </w:rPr>
      </w:pPr>
      <w:r>
        <w:rPr>
          <w:rFonts w:ascii="Times New Roman" w:hAnsi="Times New Roman"/>
          <w:rtl w:val="0"/>
          <w:lang w:val="en-US"/>
        </w:rPr>
        <w:t>Ma vi e</w:t>
      </w:r>
      <w:r>
        <w:rPr>
          <w:rFonts w:ascii="Times New Roman" w:hAnsi="Times New Roman" w:hint="default"/>
          <w:rtl w:val="0"/>
          <w:lang w:val="en-US"/>
        </w:rPr>
        <w:t xml:space="preserve">̀ </w:t>
      </w:r>
      <w:r>
        <w:rPr>
          <w:rFonts w:ascii="Times New Roman" w:hAnsi="Times New Roman"/>
          <w:rtl w:val="0"/>
          <w:lang w:val="en-US"/>
        </w:rPr>
        <w:t>di piu</w:t>
      </w:r>
      <w:r>
        <w:rPr>
          <w:rFonts w:ascii="Times New Roman" w:hAnsi="Times New Roman" w:hint="default"/>
          <w:rtl w:val="0"/>
          <w:lang w:val="en-US"/>
        </w:rPr>
        <w:t>̀</w:t>
      </w:r>
      <w:r>
        <w:rPr>
          <w:rFonts w:ascii="Times New Roman" w:hAnsi="Times New Roman"/>
          <w:rtl w:val="0"/>
          <w:lang w:val="en-US"/>
        </w:rPr>
        <w:t xml:space="preserve">.                                             </w:t>
      </w:r>
      <w:r>
        <w:rPr>
          <w:rFonts w:ascii="Arial Unicode MS" w:cs="Arial Unicode MS" w:hAnsi="Arial Unicode MS" w:eastAsia="Arial Unicode MS"/>
          <w:b w:val="0"/>
          <w:bCs w:val="0"/>
          <w:i w:val="0"/>
          <w:iCs w:val="0"/>
        </w:rPr>
        <w:br w:type="textWrapping"/>
      </w:r>
      <w:r>
        <w:rPr>
          <w:rFonts w:ascii="Times New Roman" w:hAnsi="Times New Roman"/>
          <w:rtl w:val="0"/>
          <w:lang w:val="en-US"/>
        </w:rPr>
        <w:t>Secondo la sentenza in esame, poiche</w:t>
      </w:r>
      <w:r>
        <w:rPr>
          <w:rFonts w:ascii="Times New Roman" w:hAnsi="Times New Roman" w:hint="default"/>
          <w:rtl w:val="0"/>
          <w:lang w:val="en-US"/>
        </w:rPr>
        <w:t xml:space="preserve">́ </w:t>
      </w:r>
      <w:r>
        <w:rPr>
          <w:rFonts w:ascii="Times New Roman" w:hAnsi="Times New Roman"/>
          <w:rtl w:val="0"/>
          <w:lang w:val="en-US"/>
        </w:rPr>
        <w:t>la disapplicazione e</w:t>
      </w:r>
      <w:r>
        <w:rPr>
          <w:rFonts w:ascii="Times New Roman" w:hAnsi="Times New Roman" w:hint="default"/>
          <w:rtl w:val="0"/>
          <w:lang w:val="en-US"/>
        </w:rPr>
        <w:t xml:space="preserve">̀ </w:t>
      </w:r>
      <w:r>
        <w:rPr>
          <w:rFonts w:ascii="Times New Roman" w:hAnsi="Times New Roman"/>
          <w:rtl w:val="0"/>
          <w:lang w:val="en-US"/>
        </w:rPr>
        <w:t>un metodo di risoluzione delle antinomie normative che, oltre a presupporre la contemporanea vigenza delle norme reciprocamente contrastanti, non produce alcun effetto sull'esistenza delle stesse e, pertanto, non puo</w:t>
      </w:r>
      <w:r>
        <w:rPr>
          <w:rFonts w:ascii="Times New Roman" w:hAnsi="Times New Roman" w:hint="default"/>
          <w:rtl w:val="0"/>
          <w:lang w:val="en-US"/>
        </w:rPr>
        <w:t xml:space="preserve">̀ </w:t>
      </w:r>
      <w:r>
        <w:rPr>
          <w:rFonts w:ascii="Times New Roman" w:hAnsi="Times New Roman"/>
          <w:rtl w:val="0"/>
          <w:lang w:val="en-US"/>
        </w:rPr>
        <w:t xml:space="preserve">esser causa di qualsivoglia forma di estinzione o di modificazione delle disposizioni che ne siano oggetto, </w:t>
      </w:r>
      <w:r>
        <w:rPr>
          <w:rtl w:val="0"/>
          <w:lang w:val="en-US"/>
        </w:rPr>
        <w:t>“</w:t>
      </w:r>
      <w:r>
        <w:rPr>
          <w:rFonts w:ascii="TimesNewRomanPS" w:cs="TimesNewRomanPS" w:hAnsi="TimesNewRomanPS" w:eastAsia="TimesNewRomanPS"/>
          <w:i w:val="1"/>
          <w:iCs w:val="1"/>
          <w:rtl w:val="0"/>
          <w:lang w:val="en-US"/>
        </w:rPr>
        <w:t>resta ferma l'esigenza che gli Stati membri apportino le necessarie modificazioni o abrogazioni del proprio diritto interno al fine di depurarlo da eventuali incompatibilita</w:t>
      </w:r>
      <w:r>
        <w:rPr>
          <w:rFonts w:ascii="TimesNewRomanPS" w:cs="TimesNewRomanPS" w:hAnsi="TimesNewRomanPS" w:eastAsia="TimesNewRomanPS"/>
          <w:i w:val="1"/>
          <w:iCs w:val="1"/>
          <w:rtl w:val="0"/>
          <w:lang w:val="en-US"/>
        </w:rPr>
        <w:t xml:space="preserve">̀ </w:t>
      </w:r>
      <w:r>
        <w:rPr>
          <w:rFonts w:ascii="TimesNewRomanPS" w:cs="TimesNewRomanPS" w:hAnsi="TimesNewRomanPS" w:eastAsia="TimesNewRomanPS"/>
          <w:i w:val="1"/>
          <w:iCs w:val="1"/>
          <w:rtl w:val="0"/>
          <w:lang w:val="en-US"/>
        </w:rPr>
        <w:t>o disarmonie con le prevalenti norme comunitarie</w:t>
      </w:r>
      <w:r>
        <w:rPr>
          <w:rFonts w:ascii="TimesNewRomanPS" w:cs="TimesNewRomanPS" w:hAnsi="TimesNewRomanPS" w:eastAsia="TimesNewRomanPS"/>
          <w:i w:val="1"/>
          <w:iCs w:val="1"/>
          <w:rtl w:val="0"/>
          <w:lang w:val="en-US"/>
        </w:rPr>
        <w:t>”</w:t>
      </w:r>
      <w:r>
        <w:rPr>
          <w:rFonts w:ascii="Times New Roman" w:hAnsi="Times New Roman"/>
          <w:rtl w:val="0"/>
          <w:lang w:val="en-US"/>
        </w:rPr>
        <w:t xml:space="preserve">.                         </w:t>
      </w:r>
      <w:r>
        <w:rPr>
          <w:rFonts w:ascii="Arial Unicode MS" w:cs="Arial Unicode MS" w:hAnsi="Arial Unicode MS" w:eastAsia="Arial Unicode MS"/>
          <w:b w:val="0"/>
          <w:bCs w:val="0"/>
          <w:i w:val="0"/>
          <w:iCs w:val="0"/>
        </w:rPr>
        <w:br w:type="textWrapping"/>
      </w:r>
      <w:r>
        <w:rPr>
          <w:rFonts w:ascii="Times New Roman" w:hAnsi="Times New Roman"/>
          <w:rtl w:val="0"/>
          <w:lang w:val="en-US"/>
        </w:rPr>
        <w:t xml:space="preserve">E se, sul piano dell'ordinamento nazionale, tale esigenza si collega al principio della certezza del diritto, sul piano comunitario, invece, rappresenta una garanzia essenziale al principio della prevalenza del diritto europeo su quelli nazionali, al punto da costituire l'oggetto di un preciso obbligo in capo agli Stati membri. </w:t>
      </w:r>
    </w:p>
    <w:p>
      <w:pPr>
        <w:pStyle w:val="Corpo del testo"/>
        <w:jc w:val="both"/>
        <w:rPr>
          <w:rFonts w:ascii="Times New Roman" w:cs="Times New Roman" w:hAnsi="Times New Roman" w:eastAsia="Times New Roman"/>
        </w:rPr>
      </w:pPr>
      <w:r>
        <w:rPr>
          <w:rFonts w:ascii="Times New Roman" w:hAnsi="Times New Roman"/>
          <w:rtl w:val="0"/>
          <w:lang w:val="en-US"/>
        </w:rPr>
        <w:t>A fronte quindi di tutto quanto sin qui argomentato appare evidente che vi siano tutti i presupposti di fatto e di diritto affinch</w:t>
      </w:r>
      <w:r>
        <w:rPr>
          <w:rFonts w:ascii="Times New Roman" w:hAnsi="Times New Roman" w:hint="default"/>
          <w:rtl w:val="0"/>
          <w:lang w:val="en-US"/>
        </w:rPr>
        <w:t xml:space="preserve">è </w:t>
      </w:r>
      <w:r>
        <w:rPr>
          <w:rFonts w:ascii="Times New Roman" w:hAnsi="Times New Roman"/>
          <w:rtl w:val="0"/>
          <w:lang w:val="en-US"/>
        </w:rPr>
        <w:t>il datore di lavoro, che voglia evitare di rendersi responsabile della PALESE VIOLAZIONE DEL'ART. 1 DELLA COSTITUZIONE con tutte le conseguenze che ne ricadrebbero, debba DISAPPLICARE in toto la normativa che pone l'</w:t>
      </w:r>
      <w:r>
        <w:rPr>
          <w:rFonts w:ascii="Times New Roman" w:hAnsi="Times New Roman"/>
          <w:rtl w:val="0"/>
          <w:lang w:val="it-IT"/>
        </w:rPr>
        <w:t>o</w:t>
      </w:r>
      <w:r>
        <w:rPr>
          <w:rFonts w:ascii="Times New Roman" w:hAnsi="Times New Roman"/>
          <w:rtl w:val="0"/>
          <w:lang w:val="en-US"/>
        </w:rPr>
        <w:t>bbligo del Green Pass e consentire al lavoratore di assolvere al proprio diritto/dovere di adempiere al proprio contratto di lavoro in essere fra le parti.</w:t>
      </w:r>
    </w:p>
    <w:p>
      <w:pPr>
        <w:pStyle w:val="Corpo del testo"/>
        <w:jc w:val="both"/>
        <w:rPr>
          <w:rFonts w:ascii="Times New Roman" w:cs="Times New Roman" w:hAnsi="Times New Roman" w:eastAsia="Times New Roman"/>
          <w:b w:val="1"/>
          <w:bCs w:val="1"/>
          <w:shd w:val="clear" w:color="auto" w:fill="ffffff"/>
        </w:rPr>
      </w:pPr>
      <w:r>
        <w:rPr>
          <w:rFonts w:ascii="Times New Roman" w:hAnsi="Times New Roman"/>
          <w:rtl w:val="0"/>
          <w:lang w:val="en-US"/>
        </w:rPr>
        <w:t>Ogni diversa e contraria presa di posizione del datore di lavoro verr</w:t>
      </w:r>
      <w:r>
        <w:rPr>
          <w:rFonts w:ascii="Times New Roman" w:hAnsi="Times New Roman" w:hint="default"/>
          <w:rtl w:val="0"/>
          <w:lang w:val="en-US"/>
        </w:rPr>
        <w:t xml:space="preserve">à </w:t>
      </w:r>
      <w:r>
        <w:rPr>
          <w:rFonts w:ascii="Times New Roman" w:hAnsi="Times New Roman"/>
          <w:rtl w:val="0"/>
          <w:lang w:val="en-US"/>
        </w:rPr>
        <w:t>ritenuta gravemente lesiva dei diritti del lavoratore, della dignit</w:t>
      </w:r>
      <w:r>
        <w:rPr>
          <w:rFonts w:ascii="Times New Roman" w:hAnsi="Times New Roman" w:hint="default"/>
          <w:rtl w:val="0"/>
          <w:lang w:val="en-US"/>
        </w:rPr>
        <w:t xml:space="preserve">à </w:t>
      </w:r>
      <w:r>
        <w:rPr>
          <w:rFonts w:ascii="Times New Roman" w:hAnsi="Times New Roman"/>
          <w:rtl w:val="0"/>
          <w:lang w:val="en-US"/>
        </w:rPr>
        <w:t>dell'individuo e dei diritti suoi e dei propri diretti congiunti.</w:t>
      </w:r>
    </w:p>
    <w:p>
      <w:pPr>
        <w:pStyle w:val="Numerato A"/>
        <w:rPr>
          <w:rFonts w:ascii="Times New Roman" w:cs="Times New Roman" w:hAnsi="Times New Roman" w:eastAsia="Times New Roman"/>
          <w:shd w:val="clear" w:color="auto" w:fill="ffffff"/>
        </w:rPr>
      </w:pPr>
      <w:r>
        <w:rPr>
          <w:rFonts w:ascii="Times New Roman" w:hAnsi="Times New Roman"/>
          <w:b w:val="1"/>
          <w:bCs w:val="1"/>
          <w:shd w:val="clear" w:color="auto" w:fill="ffffff"/>
          <w:rtl w:val="0"/>
          <w:lang w:val="it-IT"/>
        </w:rPr>
        <w:t>In ogni caso si fa presente che il datore di lavoro sar</w:t>
      </w:r>
      <w:r>
        <w:rPr>
          <w:rFonts w:ascii="Times New Roman" w:hAnsi="Times New Roman" w:hint="default"/>
          <w:b w:val="1"/>
          <w:bCs w:val="1"/>
          <w:shd w:val="clear" w:color="auto" w:fill="ffffff"/>
          <w:rtl w:val="0"/>
          <w:lang w:val="it-IT"/>
        </w:rPr>
        <w:t xml:space="preserve">à </w:t>
      </w:r>
      <w:r>
        <w:rPr>
          <w:rFonts w:ascii="Times New Roman" w:hAnsi="Times New Roman"/>
          <w:b w:val="1"/>
          <w:bCs w:val="1"/>
          <w:shd w:val="clear" w:color="auto" w:fill="ffffff"/>
          <w:rtl w:val="0"/>
          <w:lang w:val="it-IT"/>
        </w:rPr>
        <w:t xml:space="preserve">tenuto a corrispondere a titolo di risarcimento, al lavoratore, lo stipendio contrattualmente previsto. </w:t>
      </w:r>
    </w:p>
    <w:p>
      <w:pPr>
        <w:pStyle w:val="Numerato A"/>
        <w:ind w:left="0" w:firstLine="0"/>
        <w:rPr>
          <w:rFonts w:ascii="Times New Roman" w:cs="Times New Roman" w:hAnsi="Times New Roman" w:eastAsia="Times New Roman"/>
          <w:shd w:val="clear" w:color="auto" w:fill="ffffff"/>
        </w:rPr>
      </w:pPr>
    </w:p>
    <w:p>
      <w:pPr>
        <w:pStyle w:val="Numerato A"/>
        <w:ind w:left="0" w:firstLine="0"/>
        <w:rPr>
          <w:rFonts w:ascii="Times New Roman" w:cs="Times New Roman" w:hAnsi="Times New Roman" w:eastAsia="Times New Roman"/>
          <w:shd w:val="clear" w:color="auto" w:fill="ffffff"/>
        </w:rPr>
      </w:pPr>
      <w:r>
        <w:rPr>
          <w:rFonts w:ascii="Times New Roman" w:hAnsi="Times New Roman"/>
          <w:shd w:val="clear" w:color="auto" w:fill="ffffff"/>
          <w:rtl w:val="0"/>
          <w:lang w:val="it-IT"/>
        </w:rPr>
        <w:t>Luogo ___________________________data_______________________</w:t>
      </w:r>
    </w:p>
    <w:p>
      <w:pPr>
        <w:pStyle w:val="Numerato A"/>
        <w:ind w:left="3" w:firstLine="0"/>
        <w:rPr>
          <w:rFonts w:ascii="Times New Roman" w:cs="Times New Roman" w:hAnsi="Times New Roman" w:eastAsia="Times New Roman"/>
          <w:shd w:val="clear" w:color="auto" w:fill="ffffff"/>
        </w:rPr>
      </w:pPr>
    </w:p>
    <w:p>
      <w:pPr>
        <w:pStyle w:val="Numerato A"/>
        <w:ind w:left="0" w:firstLine="0"/>
        <w:rPr>
          <w:rFonts w:ascii="Times New Roman" w:cs="Times New Roman" w:hAnsi="Times New Roman" w:eastAsia="Times New Roman"/>
          <w:shd w:val="clear" w:color="auto" w:fill="ffffff"/>
        </w:rPr>
      </w:pPr>
      <w:r>
        <w:rPr>
          <w:rFonts w:ascii="Times New Roman" w:hAnsi="Times New Roman"/>
          <w:shd w:val="clear" w:color="auto" w:fill="ffffff"/>
          <w:rtl w:val="0"/>
          <w:lang w:val="it-IT"/>
        </w:rPr>
        <w:t xml:space="preserve">Il lavoratore __________________________________ </w:t>
      </w:r>
    </w:p>
    <w:p>
      <w:pPr>
        <w:pStyle w:val="Numerato A"/>
        <w:ind w:left="3" w:firstLine="0"/>
      </w:pPr>
      <w:r>
        <w:rPr>
          <w:rFonts w:ascii="Times New Roman" w:cs="Times New Roman" w:hAnsi="Times New Roman" w:eastAsia="Times New Roman"/>
          <w:shd w:val="clear" w:color="auto" w:fill="ffffff"/>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NewRomanP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Corpo del testo">
    <w:name w:val="Corpo del testo"/>
    <w:next w:val="Corpo del testo"/>
    <w:pPr>
      <w:keepNext w:val="0"/>
      <w:keepLines w:val="0"/>
      <w:pageBreakBefore w:val="0"/>
      <w:widowControl w:val="1"/>
      <w:shd w:val="clear" w:color="auto" w:fill="auto"/>
      <w:suppressAutoHyphens w:val="1"/>
      <w:bidi w:val="0"/>
      <w:spacing w:before="0" w:after="140" w:line="288"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Fill>
        <w14:solidFill>
          <w14:srgbClr w14:val="000000"/>
        </w14:solidFill>
      </w14:textFill>
    </w:rPr>
  </w:style>
  <w:style w:type="paragraph" w:styleId="Numerato A">
    <w:name w:val="Numerato A"/>
    <w:next w:val="Numerato A"/>
    <w:pPr>
      <w:keepNext w:val="0"/>
      <w:keepLines w:val="0"/>
      <w:pageBreakBefore w:val="0"/>
      <w:widowControl w:val="0"/>
      <w:shd w:val="clear" w:color="auto" w:fill="ffffff"/>
      <w:suppressAutoHyphens w:val="1"/>
      <w:bidi w:val="0"/>
      <w:spacing w:before="0" w:after="160" w:line="280" w:lineRule="exact"/>
      <w:ind w:left="425" w:right="0" w:hanging="357"/>
      <w:jc w:val="both"/>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