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Spett.li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Dir. Gen. Dott. Giuseppe Viggiano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Resp. del Proc. Dott.ssa Serena Battilomo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c/o Ministero della Salute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Viale Ribotta n. 5</w:t>
      </w:r>
    </w:p>
    <w:p>
      <w:pPr>
        <w:pStyle w:val="Normal.0"/>
        <w:spacing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00144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Roma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PEC: </w:t>
      </w:r>
      <w:r>
        <w:rPr>
          <w:sz w:val="24"/>
          <w:szCs w:val="24"/>
          <w:u w:val="single"/>
          <w:rtl w:val="0"/>
          <w:lang w:val="it-IT"/>
        </w:rPr>
        <w:t>dgsi@postacert.sanita.it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E-mail:</w:t>
      </w:r>
      <w:r>
        <w:rPr>
          <w:rtl w:val="0"/>
          <w:lang w:val="it-IT"/>
        </w:rPr>
        <w:t xml:space="preserve"> </w:t>
      </w:r>
      <w:r>
        <w:rPr>
          <w:sz w:val="24"/>
          <w:szCs w:val="24"/>
          <w:u w:val="single"/>
          <w:rtl w:val="0"/>
          <w:lang w:val="it-IT"/>
        </w:rPr>
        <w:t>s.battilomo@sanita.it</w:t>
      </w:r>
    </w:p>
    <w:p>
      <w:pPr>
        <w:pStyle w:val="Normal.0"/>
        <w:spacing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E-mail:</w:t>
      </w:r>
      <w:r>
        <w:rPr>
          <w:rtl w:val="0"/>
          <w:lang w:val="it-IT"/>
        </w:rPr>
        <w:t xml:space="preserve"> </w:t>
      </w:r>
      <w:r>
        <w:rPr>
          <w:sz w:val="24"/>
          <w:szCs w:val="24"/>
          <w:u w:val="single"/>
          <w:rtl w:val="0"/>
          <w:lang w:val="it-IT"/>
        </w:rPr>
        <w:t>obbligovaccinale@sanita.it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Spett.le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Resp. del Proc. Ing. Francesco Milo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c/o Agenzia Entrate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Riscossione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Via Grezar n. 14</w:t>
      </w:r>
    </w:p>
    <w:p>
      <w:pPr>
        <w:pStyle w:val="Normal.0"/>
        <w:spacing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00141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Roma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PEC:</w:t>
      </w:r>
      <w:r>
        <w:rPr>
          <w:rtl w:val="0"/>
          <w:lang w:val="it-IT"/>
        </w:rPr>
        <w:t xml:space="preserve"> </w:t>
      </w:r>
      <w:r>
        <w:rPr>
          <w:sz w:val="24"/>
          <w:szCs w:val="24"/>
          <w:u w:val="single"/>
          <w:rtl w:val="0"/>
          <w:lang w:val="it-IT"/>
        </w:rPr>
        <w:t>protocollo@pec.agenziariscossione.gov.it</w:t>
      </w:r>
    </w:p>
    <w:p>
      <w:pPr>
        <w:pStyle w:val="Normal.0"/>
        <w:spacing w:after="240" w:line="360" w:lineRule="auto"/>
        <w:jc w:val="right"/>
        <w:rPr>
          <w:rStyle w:val="Nessuno"/>
          <w:sz w:val="24"/>
          <w:szCs w:val="24"/>
        </w:rPr>
      </w:pPr>
      <w:r>
        <w:rPr>
          <w:sz w:val="24"/>
          <w:szCs w:val="24"/>
          <w:rtl w:val="0"/>
          <w:lang w:val="it-IT"/>
        </w:rPr>
        <w:t>E-mail:</w:t>
      </w:r>
      <w:r>
        <w:rPr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"mailto:francesco.milo@agenziariscossione.gov.it"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francesco.milo@agenziariscossione.gov.it</w:t>
      </w:r>
      <w:r>
        <w:rPr/>
        <w:fldChar w:fldCharType="end" w:fldLock="0"/>
      </w:r>
    </w:p>
    <w:p>
      <w:pPr>
        <w:pStyle w:val="Normal.0"/>
        <w:spacing w:line="360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Spett.le</w:t>
      </w:r>
    </w:p>
    <w:p>
      <w:pPr>
        <w:pStyle w:val="Normal.0"/>
        <w:spacing w:line="360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Direttore Generale</w:t>
      </w:r>
    </w:p>
    <w:p>
      <w:pPr>
        <w:pStyle w:val="Normal.0"/>
        <w:spacing w:line="360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c/o ATS / ASST / AUSL / ASL</w:t>
      </w:r>
    </w:p>
    <w:p>
      <w:pPr>
        <w:pStyle w:val="Normal.0"/>
        <w:spacing w:line="360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</w:t>
      </w:r>
    </w:p>
    <w:p>
      <w:pPr>
        <w:pStyle w:val="Normal.0"/>
        <w:spacing w:line="360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</w:t>
      </w:r>
    </w:p>
    <w:p>
      <w:pPr>
        <w:pStyle w:val="Normal.0"/>
        <w:spacing w:after="240" w:line="360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PEC:</w:t>
      </w:r>
    </w:p>
    <w:p>
      <w:pPr>
        <w:pStyle w:val="Normal.0"/>
        <w:spacing w:line="360" w:lineRule="auto"/>
        <w:jc w:val="center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RICHIESTA DI ARCHIVIAZIONE DEL PROCEDIMENTO CON ISTANZA DI ANNULLAMENTO IN AUTOTUTELA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In merito alla comunicazione ricevuta in data ____________________, avente ad oggetto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avvio del procedimento sanzionatorio ex art. 4-sexies, comma 4 del d.l. n. 44/2021, il/la sottoscritto/a _________________________________________________ (C.F.: _______________________________);</w:t>
      </w:r>
    </w:p>
    <w:p>
      <w:pPr>
        <w:pStyle w:val="Normal.0"/>
        <w:spacing w:after="240" w:line="360" w:lineRule="auto"/>
        <w:jc w:val="center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PREMESSO CHE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1)</w:t>
      </w:r>
      <w:r>
        <w:rPr>
          <w:rStyle w:val="Nessuno"/>
          <w:sz w:val="24"/>
          <w:szCs w:val="24"/>
          <w:rtl w:val="0"/>
          <w:lang w:val="it-IT"/>
        </w:rPr>
        <w:t xml:space="preserve"> La dichiarazione dello stato di emergenza, </w:t>
      </w:r>
      <w:r>
        <w:rPr>
          <w:rStyle w:val="Nessuno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originariamente deliberata dal Consiglio dei Ministri il 31.01.2020 e successivamente prorogata, trova precipuo fondamento nell</w:t>
      </w:r>
      <w:r>
        <w:rPr>
          <w:rStyle w:val="Nessuno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7 del D. Lgs. n. 1/18 </w:t>
      </w:r>
      <w:r>
        <w:rPr>
          <w:rStyle w:val="Nessuno"/>
          <w:outline w:val="0"/>
          <w:color w:val="000000"/>
          <w:kern w:val="2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(la c.d. Legge sulla Protezione Civile).</w:t>
      </w:r>
      <w:r>
        <w:rPr>
          <w:rStyle w:val="Nessuno"/>
          <w:sz w:val="24"/>
          <w:szCs w:val="24"/>
          <w:rtl w:val="0"/>
          <w:lang w:val="it-IT"/>
        </w:rPr>
        <w:t xml:space="preserve"> Detta normativa prevede che lo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stato di emergenza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 xml:space="preserve">possa essere dichiarato dal Presidente del Consiglio dei Ministri solo in ipotesi di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emergenze di rilievo nazionale connesse con eventi calamitosi di origine naturale o derivanti dall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attivit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dell'uomo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>, effettuando,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 16, una compiuta elencazione di tali eventi, tra i quali non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ricompreso il rischio sanitario.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Se ne desume, da ci</w:t>
      </w:r>
      <w:r>
        <w:rPr>
          <w:rStyle w:val="Nessuno"/>
          <w:sz w:val="24"/>
          <w:szCs w:val="24"/>
          <w:rtl w:val="0"/>
          <w:lang w:val="it-IT"/>
        </w:rPr>
        <w:t>ò</w:t>
      </w:r>
      <w:r>
        <w:rPr>
          <w:rStyle w:val="Nessuno"/>
          <w:sz w:val="24"/>
          <w:szCs w:val="24"/>
          <w:rtl w:val="0"/>
          <w:lang w:val="it-IT"/>
        </w:rPr>
        <w:t>,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illegittimit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detta deliberazione, in quanto nessuna fonte costituzionale o avente forza di legge ordinaria attribuisce al Consiglio dei Ministri il potere di dichiarare lo stato di emergenza per rischio sanitario.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 tali conclusioni sono pervenuti, fra gli altri, il Giudice di Pace di Frosinone (sent. n. 516/2020 - R.G. n. 819/2020), il Tribunale Ordinario di Roma (ord. del 16.12.2020), il GUP di Reggio Emilia (sent. n. 54 del 27.01.2021), la Corte di Cassazione (sent. n. 7988/21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01.03.2021) e, in ultimo, il Tribunale di Pisa, nella ineccepibile sent. n. 1842/2022 pronunciata dal Giudice Lina Manuali.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Dalla lettura dell'art. 4-quater del d.l. n. 44/2021, si evidenzia come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istituzione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obbligo vaccinale per gli ultracinquantenni sia basata sul summenzionato stato di emergenza, di guisa che ogni provvedimento fondato su quella deliberazione deve esser considerato parimenti illegittimo e dunque disapplicato sia dagli Organi Giurisdizionali che dagli Organi Amministrativi.</w:t>
      </w:r>
    </w:p>
    <w:p>
      <w:pPr>
        <w:pStyle w:val="Normal.0"/>
        <w:spacing w:after="24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Lo stato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asserita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emergenza sanitaria</w:t>
      </w:r>
      <w:r>
        <w:rPr>
          <w:rStyle w:val="Nessuno"/>
          <w:sz w:val="24"/>
          <w:szCs w:val="24"/>
          <w:rtl w:val="0"/>
          <w:lang w:val="it-IT"/>
        </w:rPr>
        <w:t xml:space="preserve">” è </w:t>
      </w:r>
      <w:r>
        <w:rPr>
          <w:rStyle w:val="Nessuno"/>
          <w:sz w:val="24"/>
          <w:szCs w:val="24"/>
          <w:rtl w:val="0"/>
          <w:lang w:val="it-IT"/>
        </w:rPr>
        <w:t>ufficialmente terminato in data 31.03.2022 e, conseguentemente, dal 01.04.2022 in poi non sussiste pi</w:t>
      </w:r>
      <w:r>
        <w:rPr>
          <w:rStyle w:val="Nessuno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sz w:val="24"/>
          <w:szCs w:val="24"/>
          <w:rtl w:val="0"/>
          <w:lang w:val="it-IT"/>
        </w:rPr>
        <w:t>alcuna base, giuridica o fattuale, sulla quale si possano fondare misure restrittive dei Diritti Fondamentali.</w:t>
      </w:r>
    </w:p>
    <w:p>
      <w:pPr>
        <w:pStyle w:val="Normal.0"/>
        <w:spacing w:line="360" w:lineRule="auto"/>
        <w:jc w:val="both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2)</w:t>
      </w:r>
      <w:r>
        <w:rPr>
          <w:rStyle w:val="Nessuno"/>
          <w:sz w:val="24"/>
          <w:szCs w:val="24"/>
          <w:rtl w:val="0"/>
          <w:lang w:val="it-IT"/>
        </w:rPr>
        <w:t xml:space="preserve">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determina del 14.06.2021, in Gazzetta Ufficiale Serie Generale n. 141 del 15-06-2021, il Direttore Generale dell'AIFA ha stabilito che: 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medicinali 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«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Comirnaty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«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COVID-19 Vaccine Moderna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sono inseriti, esclusivamente ai fini del 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razionale scientifico", nell'elenco dei farmaci di cui alla legge n. 648/1996"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360" w:lineRule="auto"/>
        <w:jc w:val="both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Orbene, per "razionale scientifico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intende l'osservazione in sperimentazione di un farmaco o di una terapia che mette in evidenza le carenze conoscitive sull'argomento oggetto dello studio; il razionale di un lavoro prevede l'identificazione di un'ipotesi sperimentale che deve essere verificata (o smentita) dalle strategie messe in atto.</w:t>
      </w:r>
    </w:p>
    <w:p>
      <w:pPr>
        <w:pStyle w:val="Normal.0"/>
        <w:spacing w:line="360" w:lineRule="auto"/>
        <w:jc w:val="both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Trattasi di sperimentazione in piena regola, la cui </w:t>
      </w:r>
      <w:r>
        <w:rPr>
          <w:rStyle w:val="Nessuno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species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stata espressamente riconosciuta dall'AIFA mediante la summenzionata determina.</w:t>
      </w:r>
    </w:p>
    <w:p>
      <w:pPr>
        <w:pStyle w:val="Normal.0"/>
        <w:spacing w:line="360" w:lineRule="auto"/>
        <w:jc w:val="both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l. n. 648/1996, all'art. 1, comma 4, consente di erogare un farmaco a carico del Servizio Sanitario Nazionale (SSN), previo parere della Commissione Tecnico-Scientifica (CTS) di AIFA: 1) quando non esiste un'alternativa terapeutica valida; (in questo caso la terapia esiste ed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costituita da antibiotici, antinfiammatori, cortisonici e antitrombotici - rigorosamente prescritti dal medico di medicina generale); 2) per medicinali non ancora autorizzati, ma in corso di sperimentazione clinica.</w:t>
      </w:r>
    </w:p>
    <w:p>
      <w:pPr>
        <w:pStyle w:val="Normal.0"/>
        <w:spacing w:after="240" w:line="360" w:lineRule="auto"/>
        <w:jc w:val="both"/>
        <w:rPr>
          <w:rStyle w:val="Ness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medico che utilizza un farmaco inserito nell'elenco della l. n. 648/1996 (quali sono i cosiddetti vaccini mRna anti SARS-CoV-2), deve farlo nel rispetto delle condizioni e delle modalit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d'uso dei singoli farmaci,  indicate ed inserite in tale elenco, dichiarando l'assunzione di responsabilit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trattamento ed acquisendo il consenso informato del paziente.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3)</w:t>
      </w:r>
      <w:r>
        <w:rPr>
          <w:rStyle w:val="Nessuno"/>
          <w:sz w:val="24"/>
          <w:szCs w:val="24"/>
          <w:rtl w:val="0"/>
          <w:lang w:val="it-IT"/>
        </w:rPr>
        <w:t xml:space="preserve"> Il Consenso Informato concerne il processo con cui il paziente decide in modo libero e autonomo dopo che gli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stata presentata una serie specifica di informazioni, rese a lui comprensibili, da parte del medico o equipe medica, se iniziare o proseguire il trattamento sanitario previsto (l. n. 219/17, art. l,  commi 2 e 3).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Con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acquisizione del consenso informato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>si intende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esternazione, da parte del paziente,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assenso (completo o parziale), dissenso o revoca, relativo a quanto proposto dal medico, a conclusione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intero percorso di consenso informato.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La legge n. 219/17 identifica le due componenti del Consenso Informato in ambito sanitario: 1) le informazioni; 2) il processo con cui quest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ultime sono rese comprensibili e utili al paziente.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Le informazioni che il paziente deve comprendere, esplicitate dalla l. n. 219/17, riguardano: 1) la diagnosi; 2) la prognosi; 3)</w:t>
        <w:tab/>
        <w:t>i benef</w:t>
      </w:r>
      <w:r>
        <w:rPr>
          <w:rStyle w:val="Nessuno"/>
          <w:sz w:val="24"/>
          <w:szCs w:val="24"/>
          <w:rtl w:val="0"/>
          <w:lang w:val="it-IT"/>
        </w:rPr>
        <w:t>ì</w:t>
      </w:r>
      <w:r>
        <w:rPr>
          <w:rStyle w:val="Nessuno"/>
          <w:sz w:val="24"/>
          <w:szCs w:val="24"/>
          <w:rtl w:val="0"/>
          <w:lang w:val="it-IT"/>
        </w:rPr>
        <w:t>ci e i rischi degli accertamenti diagnostici e dei trattamenti sanitari indicati; 4) i benef</w:t>
      </w:r>
      <w:r>
        <w:rPr>
          <w:rStyle w:val="Nessuno"/>
          <w:sz w:val="24"/>
          <w:szCs w:val="24"/>
          <w:rtl w:val="0"/>
          <w:lang w:val="it-IT"/>
        </w:rPr>
        <w:t>ì</w:t>
      </w:r>
      <w:r>
        <w:rPr>
          <w:rStyle w:val="Nessuno"/>
          <w:sz w:val="24"/>
          <w:szCs w:val="24"/>
          <w:rtl w:val="0"/>
          <w:lang w:val="it-IT"/>
        </w:rPr>
        <w:t>ci e i rischi delle possibili alternative agli accertamenti diagnostici e dei trattamenti sanitari indicati 5) le conseguenze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eventuale rifiuto/rinuncia.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consenso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>essere revocato in qualsiasi momento dal paziente o da chi ha firmato il modulo. Se il consenso viene modificato, sar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necessario un nuovo colloquio informativo che garantisca la persistenza del consenso. Ci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>significa che il paziente ha il diritto di avere sempre dei chiarimenti e delle informazioni sul trattamento che sta ricevendo e che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>recedere da un precedente consenso in qualsiasi momento. E</w:t>
      </w:r>
      <w:r>
        <w:rPr>
          <w:rStyle w:val="Nessuno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sz w:val="24"/>
          <w:szCs w:val="24"/>
          <w:rtl w:val="0"/>
          <w:lang w:val="it-IT"/>
        </w:rPr>
        <w:t>illegittimo richiedere la firma di moduli da cui risulti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evidente intenzione di scaricare responsabilit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del personale sanitario e della struttura, che devono sempre rispondere personalmente di eventuali errori o di procurate infezioni durante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intervento o il trattamento.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illegittimit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obbligo vaccinale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de quo</w:t>
      </w:r>
      <w:r>
        <w:rPr>
          <w:rStyle w:val="Nessuno"/>
          <w:sz w:val="24"/>
          <w:szCs w:val="24"/>
          <w:rtl w:val="0"/>
          <w:lang w:val="it-IT"/>
        </w:rPr>
        <w:t xml:space="preserve"> emerge anche in relazione al fatto che, nel caso di somministrazione dei vaccini mRna anti SARS-CoV-2, il consenso informato che viene fatto sottoscrivere al vaccinando non rispetta i parametri previsti dalle normative nazionali e comunitarie e, pi</w:t>
      </w:r>
      <w:r>
        <w:rPr>
          <w:rStyle w:val="Nessuno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sz w:val="24"/>
          <w:szCs w:val="24"/>
          <w:rtl w:val="0"/>
          <w:lang w:val="it-IT"/>
        </w:rPr>
        <w:t>specificamente, dagli artt. 28 e 29 del Regolamento UE n. 536/2014 del Parlamento Europeo e del Consiglio del 16 aprile 2014.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obbligatoriet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del vaccino che, si ricorda,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ancora in fase sperimentale,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contraria alle norme del Codice di Norimberga,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art. 7 del Patto interazionale relativo ai diritti civili e politici concluso a New York il 16 dicembre 1966 (recepito in Italia con legge 25 ottobre 1977 n. 881), agli artt. 1.28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allegato 1/1B e 2.9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Allegato 1/2 del DM 15.07.1997,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art. 3 del d.lgs. 24 giugno 2003 n. 211 e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 28 del Reg. UE n. 536/2014. In particolare,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vietato costringere chicchessia a partecipare ad una sperimentazione clinica sotto la minaccia di condizionamenti finanziari, senza acquisire un consenso informato che garantisca la piena volontariet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della partecipazione alla sperimentazione e senza prevedere una adeguata copertura assicurativa per chi partecipi alla sperimentazione.</w:t>
      </w:r>
    </w:p>
    <w:p>
      <w:pPr>
        <w:pStyle w:val="Normal.0"/>
        <w:spacing w:after="24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Lo/La scrivente non ha adempiuto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obbligo vaccinale poich</w:t>
      </w:r>
      <w:r>
        <w:rPr>
          <w:rStyle w:val="Nessuno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sz w:val="24"/>
          <w:szCs w:val="24"/>
          <w:rtl w:val="0"/>
          <w:lang w:val="it-IT"/>
        </w:rPr>
        <w:t xml:space="preserve">lo Stato non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stato in grado di sottoporre regolare consenso informato di cui alla l. n. 219/17, mediante il quale il cittadino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>decidere di accettare o rifiutare il trattamento obbligato.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4)</w:t>
      </w:r>
      <w:r>
        <w:rPr>
          <w:rStyle w:val="Nessuno"/>
          <w:sz w:val="24"/>
          <w:szCs w:val="24"/>
          <w:rtl w:val="0"/>
          <w:lang w:val="it-IT"/>
        </w:rPr>
        <w:t xml:space="preserve"> Ai sensi del Regolamento UE n. 953/2021, immediatamente applicabile nei Paesi membri, il Parlamento ed il Consiglio europei hanno espressamente proibito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la discriminazione diretta o indiretta di persone che non sono vaccinate [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…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] perch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hanno scelto di non essere vaccinate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>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Parimenti la risoluzione n. 2361 del Consiglio d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Europa, datata 27.01.2021, invita espressamente gli Stati membri a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garantire che i cittadini siano informati che la vaccinazione NON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obbligatoria e che nessuno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politicamente, socialmente o altrimenti sotto pressione per vaccinarsi, se non lo desidera da s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è”</w:t>
      </w:r>
      <w:r>
        <w:rPr>
          <w:rStyle w:val="Nessuno"/>
          <w:sz w:val="24"/>
          <w:szCs w:val="24"/>
          <w:rtl w:val="0"/>
          <w:lang w:val="it-IT"/>
        </w:rPr>
        <w:t xml:space="preserve"> (punto 7.3.1) nonch</w:t>
      </w:r>
      <w:r>
        <w:rPr>
          <w:rStyle w:val="Nessuno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sz w:val="24"/>
          <w:szCs w:val="24"/>
          <w:rtl w:val="0"/>
          <w:lang w:val="it-IT"/>
        </w:rPr>
        <w:t xml:space="preserve">a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garantire che nessuno sia discriminato per non essere stato vaccinato, a causa di possibili rischi per la salute o per non voler essere vaccinato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 xml:space="preserve"> (punto 7.3.2).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Consiglio d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Europa ha dunque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de facto</w:t>
      </w:r>
      <w:r>
        <w:rPr>
          <w:rStyle w:val="Nessuno"/>
          <w:sz w:val="24"/>
          <w:szCs w:val="24"/>
          <w:rtl w:val="0"/>
          <w:lang w:val="it-IT"/>
        </w:rPr>
        <w:t xml:space="preserve"> vietato agli Stati membri di rendere obbligatoria la vaccinazione per la prevenzione del Covid-19, nonch</w:t>
      </w:r>
      <w:r>
        <w:rPr>
          <w:rStyle w:val="Nessuno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sz w:val="24"/>
          <w:szCs w:val="24"/>
          <w:rtl w:val="0"/>
          <w:lang w:val="it-IT"/>
        </w:rPr>
        <w:t>di porre in essere discriminazioni nei confronti di coloro i quali non intendano vaccinarsi.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imposizione agli over 50 del trattamento appare chiaramente discriminatorio perch</w:t>
      </w:r>
      <w:r>
        <w:rPr>
          <w:rStyle w:val="Nessuno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sz w:val="24"/>
          <w:szCs w:val="24"/>
          <w:rtl w:val="0"/>
          <w:lang w:val="it-IT"/>
        </w:rPr>
        <w:t>non fondato su alcun ragionamento sensato, scientificamente provato, che possa giustificare il differente trattamento di un trentenne o un quarantenne rispetto ad un over 50.</w:t>
      </w:r>
    </w:p>
    <w:p>
      <w:pPr>
        <w:pStyle w:val="Normal.0"/>
        <w:spacing w:after="24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In virt</w:t>
      </w:r>
      <w:r>
        <w:rPr>
          <w:rStyle w:val="Nessuno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sz w:val="24"/>
          <w:szCs w:val="24"/>
          <w:rtl w:val="0"/>
          <w:lang w:val="it-IT"/>
        </w:rPr>
        <w:t>di tanto si rileva la contrariet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obbligo vaccinale alle citate normative eurounitarie, oltre alle violazioni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art. 3 Cost. e degli artt. 20 e 21 Carta dei Diritti Fondamentali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UE.</w:t>
      </w:r>
    </w:p>
    <w:p>
      <w:pPr>
        <w:pStyle w:val="Normal.0"/>
        <w:spacing w:after="24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tutto quanto sopra premesso, il/la sottoscritto/a _______________________________________,</w:t>
      </w:r>
    </w:p>
    <w:p>
      <w:pPr>
        <w:pStyle w:val="Normal.0"/>
        <w:spacing w:after="240" w:line="360" w:lineRule="auto"/>
        <w:jc w:val="center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INVITA E DIFFIDA</w:t>
      </w:r>
    </w:p>
    <w:p>
      <w:pPr>
        <w:pStyle w:val="Normal.0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le Amministrazioni procedenti a voler disapplicare le norme concernenti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obbligo di vaccinazione per gli ultracinquantenni in quanto illegittime e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contra ius</w:t>
      </w:r>
      <w:r>
        <w:rPr>
          <w:rStyle w:val="Nessuno"/>
          <w:sz w:val="24"/>
          <w:szCs w:val="24"/>
          <w:rtl w:val="0"/>
          <w:lang w:val="it-IT"/>
        </w:rPr>
        <w:t>, contestualmente procedendo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archiviazione in autotutela del procedimento in oggetto.</w:t>
      </w:r>
    </w:p>
    <w:p>
      <w:pPr>
        <w:pStyle w:val="Normal.0"/>
        <w:spacing w:after="24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In caso di mancato accoglimento della presente istanza, si riserva di agire nelle competenti sedi penali e civili 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accertamento e la tutela dei propri diritti.</w:t>
      </w:r>
    </w:p>
    <w:p>
      <w:pPr>
        <w:pStyle w:val="Normal.0"/>
        <w:spacing w:after="24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Luogo, data.</w:t>
      </w:r>
    </w:p>
    <w:p>
      <w:pPr>
        <w:pStyle w:val="Normal.0"/>
        <w:spacing w:after="240" w:line="360" w:lineRule="auto"/>
        <w:jc w:val="right"/>
      </w:pPr>
      <w:r>
        <w:rPr>
          <w:rStyle w:val="Nessuno"/>
          <w:sz w:val="24"/>
          <w:szCs w:val="24"/>
          <w:rtl w:val="0"/>
          <w:lang w:val="it-IT"/>
        </w:rPr>
        <w:t>Firma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426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b w:val="1"/>
        <w:bCs w:val="1"/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jc w:val="center"/>
    </w:pPr>
    <w:r>
      <w:rPr>
        <w:b w:val="1"/>
        <w:bCs w:val="1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>Via Duca d</w:t>
    </w:r>
    <w:r>
      <w:rPr>
        <w:b w:val="1"/>
        <w:bCs w:val="1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>’</w:t>
    </w:r>
    <w:r>
      <w:rPr>
        <w:b w:val="1"/>
        <w:bCs w:val="1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Aosta 135/D - 24058 Romano di Lombardia </w:t>
    </w:r>
  </w:p>
  <w:p>
    <w:pPr>
      <w:pStyle w:val="Normal.0"/>
      <w:jc w:val="center"/>
      <w:rPr>
        <w:outline w:val="0"/>
        <w:color w:val="000007"/>
        <w:u w:color="000007"/>
        <w14:textFill>
          <w14:solidFill>
            <w14:srgbClr w14:val="000007"/>
          </w14:solidFill>
        </w14:textFill>
      </w:rPr>
    </w:pPr>
    <w:r>
      <w:rPr>
        <w:b w:val="1"/>
        <w:bCs w:val="1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 - Fax 0363.917796 - </w:t>
    </w:r>
  </w:p>
  <w:p>
    <w:pPr>
      <w:pStyle w:val="Normal.0"/>
      <w:jc w:val="center"/>
    </w:pPr>
    <w:r>
      <w:rPr>
        <w:b w:val="1"/>
        <w:bCs w:val="1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E-Mail: </w:t>
    </w:r>
    <w:r>
      <w:rPr>
        <w:b w:val="1"/>
        <w:bCs w:val="1"/>
        <w:rtl w:val="0"/>
        <w:lang w:val="it-IT"/>
      </w:rPr>
      <w:t>info@comicost.com</w:t>
    </w:r>
  </w:p>
  <w:p>
    <w:pPr>
      <w:pStyle w:val="Normal.0"/>
      <w:jc w:val="center"/>
    </w:pPr>
    <w:r>
      <w:rPr>
        <w:b w:val="1"/>
        <w:bCs w:val="1"/>
        <w:rtl w:val="0"/>
        <w:lang w:val="it-IT"/>
      </w:rPr>
      <w:t>Web: www.comicost.com  -    Fb: @comicost  -  Twitter:@comicost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b w:val="1"/>
        <w:bCs w:val="1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jc w:val="center"/>
      <w:rPr>
        <w:b w:val="1"/>
        <w:bCs w:val="1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drawing xmlns:a="http://schemas.openxmlformats.org/drawingml/2006/main">
        <wp:inline distT="0" distB="0" distL="0" distR="0">
          <wp:extent cx="3070861" cy="118110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61" cy="1181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tabs>
        <w:tab w:val="left" w:pos="1872"/>
        <w:tab w:val="center" w:pos="4819"/>
        <w:tab w:val="right" w:pos="9638"/>
      </w:tabs>
    </w:pPr>
    <w:r>
      <w:tab/>
    </w:r>
  </w:p>
  <w:p>
    <w:pPr>
      <w:pStyle w:val="Normal.0"/>
      <w:tabs>
        <w:tab w:val="left" w:pos="1872"/>
        <w:tab w:val="center" w:pos="4819"/>
        <w:tab w:val="right" w:pos="96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0"/>
      <w:szCs w:val="20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